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52"/>
          <w:szCs w:val="52"/>
          <w:lang w:val="en-US" w:eastAsia="zh-CN"/>
        </w:rPr>
      </w:pPr>
      <w:r>
        <w:rPr>
          <w:rFonts w:hint="eastAsia" w:ascii="黑体" w:hAnsi="黑体" w:eastAsia="黑体"/>
          <w:sz w:val="52"/>
          <w:szCs w:val="52"/>
        </w:rPr>
        <w:t>南昌市</w:t>
      </w:r>
      <w:r>
        <w:rPr>
          <w:rFonts w:hint="eastAsia" w:ascii="黑体" w:hAnsi="黑体" w:eastAsia="黑体"/>
          <w:sz w:val="52"/>
          <w:szCs w:val="52"/>
          <w:lang w:val="en-US" w:eastAsia="zh-CN"/>
        </w:rPr>
        <w:t>文化</w:t>
      </w:r>
      <w:r>
        <w:rPr>
          <w:rFonts w:hint="eastAsia" w:ascii="黑体" w:hAnsi="黑体" w:eastAsia="黑体"/>
          <w:sz w:val="52"/>
          <w:szCs w:val="52"/>
          <w:lang w:eastAsia="zh-CN"/>
        </w:rPr>
        <w:t>艺术中心</w:t>
      </w:r>
      <w:r>
        <w:rPr>
          <w:rFonts w:hint="eastAsia" w:ascii="黑体" w:eastAsia="黑体"/>
          <w:sz w:val="52"/>
          <w:szCs w:val="52"/>
          <w:lang w:eastAsia="zh-CN"/>
        </w:rPr>
        <w:t>2021</w:t>
      </w:r>
      <w:r>
        <w:rPr>
          <w:rFonts w:hint="eastAsia" w:ascii="黑体" w:eastAsia="黑体"/>
          <w:sz w:val="52"/>
          <w:szCs w:val="52"/>
        </w:rPr>
        <w:t>年度</w:t>
      </w:r>
      <w:r>
        <w:rPr>
          <w:rFonts w:hint="eastAsia" w:ascii="黑体" w:eastAsia="黑体"/>
          <w:sz w:val="52"/>
          <w:szCs w:val="52"/>
          <w:lang w:val="en-US" w:eastAsia="zh-CN"/>
        </w:rPr>
        <w:t>单位</w:t>
      </w:r>
      <w:r>
        <w:rPr>
          <w:rFonts w:hint="eastAsia" w:ascii="黑体" w:eastAsia="黑体"/>
          <w:sz w:val="52"/>
          <w:szCs w:val="52"/>
        </w:rPr>
        <w:t>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第一部分  南昌市</w:t>
      </w:r>
      <w:r>
        <w:rPr>
          <w:rFonts w:hint="eastAsia" w:ascii="黑体" w:hAnsi="黑体" w:eastAsia="黑体"/>
          <w:b/>
          <w:sz w:val="32"/>
          <w:szCs w:val="32"/>
          <w:lang w:val="en-US" w:eastAsia="zh-CN"/>
        </w:rPr>
        <w:t>文化</w:t>
      </w:r>
      <w:r>
        <w:rPr>
          <w:rFonts w:hint="eastAsia" w:ascii="黑体" w:hAnsi="黑体" w:eastAsia="黑体"/>
          <w:b/>
          <w:sz w:val="32"/>
          <w:szCs w:val="32"/>
          <w:lang w:eastAsia="zh-CN"/>
        </w:rPr>
        <w:t>艺术中心</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2021</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国有资本经营预算财政拨款收入支出决算表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第一部分</w:t>
      </w:r>
      <w:r>
        <w:rPr>
          <w:rFonts w:hint="eastAsia" w:ascii="宋体" w:hAnsi="宋体"/>
          <w:bCs/>
          <w:sz w:val="32"/>
          <w:szCs w:val="30"/>
        </w:rPr>
        <w:t xml:space="preserve">  </w:t>
      </w:r>
      <w:r>
        <w:rPr>
          <w:rFonts w:hint="eastAsia" w:ascii="黑体" w:hAnsi="黑体" w:eastAsia="黑体"/>
          <w:bCs/>
          <w:sz w:val="32"/>
          <w:szCs w:val="32"/>
        </w:rPr>
        <w:t>南昌市</w:t>
      </w:r>
      <w:r>
        <w:rPr>
          <w:rFonts w:hint="eastAsia" w:ascii="黑体" w:hAnsi="黑体" w:eastAsia="黑体"/>
          <w:bCs/>
          <w:sz w:val="32"/>
          <w:szCs w:val="32"/>
          <w:lang w:val="en-US" w:eastAsia="zh-CN"/>
        </w:rPr>
        <w:t>文化</w:t>
      </w:r>
      <w:r>
        <w:rPr>
          <w:rFonts w:hint="eastAsia" w:ascii="黑体" w:hAnsi="黑体" w:eastAsia="黑体"/>
          <w:bCs/>
          <w:sz w:val="32"/>
          <w:szCs w:val="32"/>
          <w:lang w:eastAsia="zh-CN"/>
        </w:rPr>
        <w:t>艺术中心</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40" w:firstLineChars="200"/>
        <w:rPr>
          <w:rFonts w:hint="eastAsia" w:ascii="仿宋" w:hAnsi="仿宋" w:eastAsia="仿宋"/>
          <w:sz w:val="32"/>
          <w:szCs w:val="32"/>
        </w:rPr>
      </w:pPr>
      <w:r>
        <w:rPr>
          <w:rFonts w:hint="eastAsia" w:ascii="仿宋" w:hAnsi="仿宋" w:eastAsia="仿宋"/>
          <w:sz w:val="32"/>
          <w:szCs w:val="32"/>
        </w:rPr>
        <w:t>南昌市文化艺术中心全面贯彻党的十八届三中、四中和五中全会精神要求，紧紧围绕“建立现代公共文化服务体系”的总目标，按照市委、市政府重大决策部署和重点工作任务，着力强化文化服务体系建设，通过整合中心资源，加快推进公共文化服务建设步伐，使中心面貌焕然一新，文化服务功能明显增强，管理工作也取得明显进展。</w:t>
      </w:r>
    </w:p>
    <w:p>
      <w:pPr>
        <w:ind w:firstLine="600" w:firstLineChars="200"/>
        <w:jc w:val="left"/>
        <w:rPr>
          <w:rFonts w:hint="eastAsia" w:ascii="黑体" w:hAnsi="黑体" w:eastAsia="黑体"/>
          <w:sz w:val="30"/>
          <w:szCs w:val="30"/>
        </w:rPr>
      </w:pPr>
      <w:r>
        <w:rPr>
          <w:rFonts w:hint="eastAsia" w:ascii="黑体" w:hAnsi="黑体" w:eastAsia="黑体"/>
          <w:sz w:val="30"/>
          <w:szCs w:val="30"/>
        </w:rPr>
        <w:t>二、部门基本情况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sz w:val="30"/>
          <w:szCs w:val="30"/>
          <w:lang w:val="en-US" w:eastAsia="zh-CN"/>
        </w:rPr>
        <w:t xml:space="preserve"> 本单位</w:t>
      </w:r>
      <w:r>
        <w:rPr>
          <w:rFonts w:hint="eastAsia" w:ascii="仿宋" w:hAnsi="仿宋" w:eastAsia="仿宋" w:cs="仿宋"/>
          <w:i w:val="0"/>
          <w:iCs w:val="0"/>
          <w:caps w:val="0"/>
          <w:color w:val="333333"/>
          <w:spacing w:val="0"/>
          <w:sz w:val="28"/>
          <w:szCs w:val="28"/>
          <w:shd w:val="clear" w:color="auto" w:fill="FFFFFF"/>
        </w:rPr>
        <w:t>内设科室14个，包括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（一）办公室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（二）人事部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（三)财务室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firstLine="840" w:firstLineChars="3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(四)艺术部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（五）资产管理部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（六）党务办公室（党务室）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（七）培训部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（八）市场拓展部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（九）综合治理办公室（综治办）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（十）舞蹈队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（十一）舞台队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（十二）乐队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（十三）歌队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shd w:val="clear" w:color="auto" w:fill="FFFFFF"/>
        </w:rPr>
        <w:t>（十四）戏曲队</w:t>
      </w:r>
    </w:p>
    <w:p>
      <w:pPr>
        <w:widowControl/>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纳入本套部门决算汇编范围的独立核算单位共  1 个，</w:t>
      </w:r>
    </w:p>
    <w:p>
      <w:pPr>
        <w:ind w:firstLine="630"/>
        <w:jc w:val="both"/>
        <w:rPr>
          <w:rFonts w:hint="eastAsia" w:ascii="仿宋_GB2312" w:hAnsi="仿宋_GB2312" w:eastAsia="仿宋_GB2312"/>
          <w:color w:val="auto"/>
          <w:sz w:val="32"/>
          <w:szCs w:val="32"/>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lang w:eastAsia="zh-CN"/>
        </w:rPr>
        <w:t>2021</w:t>
      </w:r>
      <w:r>
        <w:rPr>
          <w:rFonts w:hint="eastAsia" w:ascii="仿宋" w:hAnsi="仿宋" w:eastAsia="仿宋"/>
          <w:sz w:val="30"/>
          <w:szCs w:val="30"/>
        </w:rPr>
        <w:t>年</w:t>
      </w:r>
      <w:r>
        <w:rPr>
          <w:rFonts w:hint="eastAsia" w:ascii="仿宋" w:hAnsi="仿宋" w:eastAsia="仿宋"/>
          <w:sz w:val="30"/>
          <w:szCs w:val="30"/>
          <w:lang w:val="en-US" w:eastAsia="zh-CN"/>
        </w:rPr>
        <w:t>末</w:t>
      </w:r>
      <w:r>
        <w:rPr>
          <w:rFonts w:hint="eastAsia" w:ascii="仿宋_GB2312" w:hAnsi="仿宋_GB2312" w:eastAsia="仿宋_GB2312"/>
          <w:sz w:val="32"/>
          <w:szCs w:val="32"/>
        </w:rPr>
        <w:t>实有人数</w:t>
      </w:r>
      <w:r>
        <w:rPr>
          <w:rFonts w:hint="eastAsia" w:ascii="仿宋" w:hAnsi="仿宋" w:eastAsia="仿宋"/>
          <w:sz w:val="30"/>
          <w:szCs w:val="30"/>
        </w:rPr>
        <w:t xml:space="preserve">人数 </w:t>
      </w:r>
      <w:r>
        <w:rPr>
          <w:rFonts w:hint="eastAsia" w:ascii="仿宋" w:hAnsi="仿宋" w:eastAsia="仿宋"/>
          <w:sz w:val="30"/>
          <w:szCs w:val="30"/>
          <w:lang w:val="en-US" w:eastAsia="zh-CN"/>
        </w:rPr>
        <w:t>496</w:t>
      </w:r>
      <w:r>
        <w:rPr>
          <w:rFonts w:hint="eastAsia" w:ascii="仿宋" w:hAnsi="仿宋" w:eastAsia="仿宋"/>
          <w:sz w:val="30"/>
          <w:szCs w:val="30"/>
        </w:rPr>
        <w:t>人，其中在职人员</w:t>
      </w:r>
      <w:r>
        <w:rPr>
          <w:rFonts w:hint="eastAsia" w:ascii="仿宋" w:hAnsi="仿宋" w:eastAsia="仿宋"/>
          <w:sz w:val="30"/>
          <w:szCs w:val="30"/>
          <w:lang w:val="en-US" w:eastAsia="zh-CN"/>
        </w:rPr>
        <w:t>191</w:t>
      </w:r>
      <w:r>
        <w:rPr>
          <w:rFonts w:hint="eastAsia" w:ascii="仿宋" w:hAnsi="仿宋" w:eastAsia="仿宋"/>
          <w:sz w:val="30"/>
          <w:szCs w:val="30"/>
        </w:rPr>
        <w:t>人，</w:t>
      </w:r>
      <w:r>
        <w:rPr>
          <w:rFonts w:hint="eastAsia" w:ascii="仿宋_GB2312" w:hAnsi="仿宋_GB2312" w:eastAsia="仿宋_GB2312"/>
          <w:color w:val="auto"/>
          <w:sz w:val="32"/>
          <w:szCs w:val="32"/>
        </w:rPr>
        <w:t>离休人员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人，退休人员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；年末其他人员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人；年末学生人数</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305</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ind w:firstLine="630"/>
        <w:jc w:val="left"/>
        <w:rPr>
          <w:rFonts w:hint="eastAsia" w:ascii="仿宋" w:hAnsi="仿宋" w:eastAsia="仿宋"/>
          <w:sz w:val="30"/>
          <w:szCs w:val="30"/>
        </w:rPr>
      </w:pPr>
    </w:p>
    <w:p>
      <w:pPr>
        <w:pStyle w:val="2"/>
        <w:ind w:left="0" w:leftChars="0" w:firstLine="0" w:firstLineChars="0"/>
        <w:rPr>
          <w:rFonts w:hint="eastAsia"/>
          <w:lang w:val="en-US" w:eastAsia="zh-CN"/>
        </w:rPr>
      </w:pPr>
    </w:p>
    <w:p>
      <w:pPr>
        <w:ind w:firstLine="630"/>
        <w:jc w:val="both"/>
        <w:rPr>
          <w:rFonts w:hint="eastAsia" w:ascii="仿宋_GB2312" w:hAnsi="仿宋_GB2312" w:eastAsia="仿宋_GB2312"/>
          <w:color w:val="auto"/>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rPr>
          <w:rFonts w:hint="eastAsia" w:ascii="Times New Roman" w:hAnsi="Times New Roman" w:eastAsia="仿宋" w:cs="Times New Roman"/>
          <w:sz w:val="21"/>
          <w:szCs w:val="21"/>
          <w:lang w:eastAsia="zh-CN"/>
        </w:rPr>
      </w:pPr>
    </w:p>
    <w:p>
      <w:pPr>
        <w:pStyle w:val="2"/>
        <w:ind w:left="0" w:leftChars="0" w:firstLine="0" w:firstLineChars="0"/>
        <w:rPr>
          <w:rFonts w:hint="default"/>
          <w:lang w:val="en-US" w:eastAsia="zh-CN"/>
        </w:rPr>
      </w:pPr>
    </w:p>
    <w:p>
      <w:pPr>
        <w:pStyle w:val="2"/>
        <w:ind w:left="0" w:leftChars="0" w:firstLine="0" w:firstLineChars="0"/>
        <w:rPr>
          <w:rFonts w:hint="eastAsia"/>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widowControl/>
        <w:spacing w:line="600" w:lineRule="exact"/>
        <w:jc w:val="both"/>
        <w:rPr>
          <w:rFonts w:hint="eastAsia" w:ascii="宋体" w:hAnsi="宋体"/>
          <w:b/>
          <w:sz w:val="32"/>
          <w:szCs w:val="32"/>
        </w:rPr>
      </w:pPr>
    </w:p>
    <w:p>
      <w:pPr>
        <w:widowControl/>
        <w:numPr>
          <w:ilvl w:val="0"/>
          <w:numId w:val="2"/>
        </w:numPr>
        <w:spacing w:line="600" w:lineRule="exact"/>
        <w:ind w:firstLine="640"/>
        <w:jc w:val="center"/>
        <w:rPr>
          <w:rFonts w:hint="eastAsia" w:ascii="宋体" w:hAnsi="宋体"/>
          <w:b/>
          <w:sz w:val="32"/>
          <w:szCs w:val="32"/>
        </w:rPr>
      </w:pPr>
      <w:r>
        <w:rPr>
          <w:rFonts w:hint="eastAsia" w:ascii="宋体" w:hAnsi="宋体"/>
          <w:b/>
          <w:sz w:val="32"/>
          <w:szCs w:val="32"/>
        </w:rPr>
        <w:t xml:space="preserve"> </w:t>
      </w:r>
      <w:r>
        <w:rPr>
          <w:rFonts w:hint="eastAsia" w:ascii="宋体" w:hAnsi="宋体"/>
          <w:b/>
          <w:sz w:val="32"/>
          <w:szCs w:val="32"/>
          <w:lang w:eastAsia="zh-CN"/>
        </w:rPr>
        <w:t>2021</w:t>
      </w:r>
      <w:r>
        <w:rPr>
          <w:rFonts w:hint="eastAsia" w:ascii="宋体" w:hAnsi="宋体"/>
          <w:b/>
          <w:sz w:val="32"/>
          <w:szCs w:val="32"/>
        </w:rPr>
        <w:t>年度部门决算表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4"/>
        <w:gridCol w:w="527"/>
        <w:gridCol w:w="838"/>
        <w:gridCol w:w="2548"/>
        <w:gridCol w:w="52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1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2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55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1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2"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2567"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2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4,254.05</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4,917.06</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176.77</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1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5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c>
          <w:tcPr>
            <w:tcW w:w="15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1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p>
      <w:pPr>
        <w:widowControl/>
        <w:spacing w:line="600" w:lineRule="exact"/>
        <w:jc w:val="both"/>
        <w:rPr>
          <w:rFonts w:hint="eastAsia" w:ascii="仿宋" w:hAnsi="仿宋" w:eastAsia="仿宋"/>
          <w:sz w:val="32"/>
          <w:szCs w:val="30"/>
        </w:rPr>
      </w:pPr>
    </w:p>
    <w:tbl>
      <w:tblPr>
        <w:tblStyle w:val="5"/>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7"/>
        <w:gridCol w:w="305"/>
        <w:gridCol w:w="305"/>
        <w:gridCol w:w="1727"/>
        <w:gridCol w:w="749"/>
        <w:gridCol w:w="749"/>
        <w:gridCol w:w="749"/>
        <w:gridCol w:w="572"/>
        <w:gridCol w:w="572"/>
        <w:gridCol w:w="394"/>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4,917.06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4,917.06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3,424.90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3,424.90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3,268.90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3,268.90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widowControl/>
        <w:spacing w:line="600" w:lineRule="exact"/>
        <w:jc w:val="both"/>
        <w:rPr>
          <w:rFonts w:hint="eastAsia" w:ascii="仿宋" w:hAnsi="仿宋" w:eastAsia="仿宋"/>
          <w:sz w:val="32"/>
          <w:szCs w:val="30"/>
        </w:rPr>
      </w:pPr>
    </w:p>
    <w:p>
      <w:pPr>
        <w:widowControl/>
        <w:spacing w:line="600" w:lineRule="exact"/>
        <w:ind w:firstLine="640" w:firstLineChars="200"/>
        <w:jc w:val="both"/>
        <w:rPr>
          <w:rFonts w:hint="eastAsia" w:ascii="仿宋" w:hAnsi="仿宋" w:eastAsia="仿宋"/>
          <w:sz w:val="32"/>
          <w:szCs w:val="30"/>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9"/>
        <w:gridCol w:w="333"/>
        <w:gridCol w:w="333"/>
        <w:gridCol w:w="2198"/>
        <w:gridCol w:w="682"/>
        <w:gridCol w:w="682"/>
        <w:gridCol w:w="566"/>
        <w:gridCol w:w="449"/>
        <w:gridCol w:w="449"/>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13"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13"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1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1"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1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8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9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1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27"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33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77"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19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9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9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3"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3"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4,096.69</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997.14</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3,510.09</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3,267.54</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242.54</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3,354.09</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145.36</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145.36</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441.23</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54.73</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54.73</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19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48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4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4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spacing w:line="600" w:lineRule="exact"/>
        <w:ind w:firstLine="640" w:firstLineChars="200"/>
        <w:jc w:val="both"/>
        <w:rPr>
          <w:rFonts w:hint="eastAsia" w:ascii="仿宋" w:hAnsi="仿宋" w:eastAsia="仿宋" w:cs="宋体"/>
          <w:kern w:val="0"/>
          <w:sz w:val="32"/>
          <w:szCs w:val="32"/>
        </w:rPr>
      </w:pPr>
    </w:p>
    <w:p>
      <w:pPr>
        <w:widowControl/>
        <w:spacing w:line="600" w:lineRule="exact"/>
        <w:ind w:firstLine="640" w:firstLineChars="200"/>
        <w:jc w:val="both"/>
        <w:rPr>
          <w:rFonts w:hint="eastAsia" w:ascii="仿宋" w:hAnsi="仿宋" w:eastAsia="仿宋" w:cs="宋体"/>
          <w:kern w:val="0"/>
          <w:sz w:val="32"/>
          <w:szCs w:val="32"/>
        </w:rPr>
      </w:pPr>
    </w:p>
    <w:p>
      <w:pPr>
        <w:widowControl/>
        <w:spacing w:line="600" w:lineRule="exact"/>
        <w:ind w:firstLine="640" w:firstLineChars="200"/>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8"/>
        <w:gridCol w:w="338"/>
        <w:gridCol w:w="705"/>
        <w:gridCol w:w="2051"/>
        <w:gridCol w:w="338"/>
        <w:gridCol w:w="705"/>
        <w:gridCol w:w="705"/>
        <w:gridCol w:w="584"/>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6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5"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16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8"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6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52"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47"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6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92"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6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16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6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8"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6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88"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095"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92"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8"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64"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88"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16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16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4,254.05</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3,510.09</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3,510.09</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452.81</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452.81</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9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4,917.06</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4,350.81</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176.77</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96.77</w:t>
            </w:r>
          </w:p>
        </w:tc>
        <w:tc>
          <w:tcPr>
            <w:tcW w:w="116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6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8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6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6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9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c>
          <w:tcPr>
            <w:tcW w:w="1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5,093.83</w:t>
            </w:r>
          </w:p>
        </w:tc>
        <w:tc>
          <w:tcPr>
            <w:tcW w:w="4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4,350.81</w:t>
            </w:r>
          </w:p>
        </w:tc>
        <w:tc>
          <w:tcPr>
            <w:tcW w:w="4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widowControl/>
        <w:spacing w:line="600" w:lineRule="exact"/>
        <w:ind w:firstLine="640" w:firstLineChars="200"/>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5"/>
        <w:gridCol w:w="358"/>
        <w:gridCol w:w="358"/>
        <w:gridCol w:w="2633"/>
        <w:gridCol w:w="1069"/>
        <w:gridCol w:w="785"/>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47"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47"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1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4"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9"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324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3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53"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69"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6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9"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0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9"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3"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9"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24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8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8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6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4,350.81</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4,096.69</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3,510.09</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3,267.54</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3,354.09</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3,256.90</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452.81</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441.23</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398.08</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229.59</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114.79</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54.73</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54.73</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387.92</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7"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6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63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45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57.04</w:t>
            </w:r>
          </w:p>
        </w:tc>
        <w:tc>
          <w:tcPr>
            <w:tcW w:w="66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widowControl/>
        <w:spacing w:line="600" w:lineRule="exact"/>
        <w:ind w:firstLine="640" w:firstLineChars="200"/>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5"/>
        <w:gridCol w:w="804"/>
        <w:gridCol w:w="804"/>
        <w:gridCol w:w="583"/>
        <w:gridCol w:w="804"/>
        <w:gridCol w:w="657"/>
        <w:gridCol w:w="657"/>
        <w:gridCol w:w="804"/>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4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40"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5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3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4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852"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140"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5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5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5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3,863.85</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119.13</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860.53</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1,290.46</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748.30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236.93</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123.76</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0.92</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215.59</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330.88</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104.73</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62.72</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593"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3" w:type="pct"/>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56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35.69</w:t>
            </w: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3" w:type="pct"/>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3" w:type="pct"/>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93"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3" w:type="pct"/>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4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3" w:type="pct"/>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56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3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3,968.58</w:t>
            </w:r>
          </w:p>
        </w:tc>
        <w:tc>
          <w:tcPr>
            <w:tcW w:w="2240"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61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06"/>
        <w:gridCol w:w="1163"/>
        <w:gridCol w:w="1429"/>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41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8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415"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689"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8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5"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9"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045"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8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6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5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4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bl>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p>
      <w:pPr>
        <w:widowControl/>
        <w:spacing w:line="600" w:lineRule="exact"/>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9"/>
        <w:gridCol w:w="329"/>
        <w:gridCol w:w="329"/>
        <w:gridCol w:w="2030"/>
        <w:gridCol w:w="499"/>
        <w:gridCol w:w="669"/>
        <w:gridCol w:w="556"/>
        <w:gridCol w:w="670"/>
        <w:gridCol w:w="670"/>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1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4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10"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14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5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68"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6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027"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8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25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6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8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5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5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9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010"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4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4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0"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2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2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125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663.01</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743.01</w:t>
            </w:r>
          </w:p>
        </w:tc>
        <w:tc>
          <w:tcPr>
            <w:tcW w:w="58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bl>
    <w:p>
      <w:pPr>
        <w:widowControl/>
        <w:numPr>
          <w:ilvl w:val="0"/>
          <w:numId w:val="0"/>
        </w:numPr>
        <w:spacing w:line="600" w:lineRule="exact"/>
        <w:jc w:val="both"/>
        <w:rPr>
          <w:rFonts w:hint="eastAsia" w:ascii="仿宋" w:hAnsi="仿宋" w:eastAsia="仿宋" w:cs="宋体"/>
          <w:kern w:val="0"/>
          <w:sz w:val="32"/>
          <w:szCs w:val="32"/>
        </w:rPr>
      </w:pPr>
    </w:p>
    <w:p>
      <w:pPr>
        <w:widowControl/>
        <w:numPr>
          <w:ilvl w:val="0"/>
          <w:numId w:val="0"/>
        </w:numPr>
        <w:spacing w:line="600" w:lineRule="exact"/>
        <w:jc w:val="both"/>
        <w:rPr>
          <w:rFonts w:hint="eastAsia" w:ascii="仿宋" w:hAnsi="仿宋" w:eastAsia="仿宋" w:cs="宋体"/>
          <w:kern w:val="0"/>
          <w:sz w:val="32"/>
          <w:szCs w:val="32"/>
        </w:rPr>
      </w:pPr>
    </w:p>
    <w:p>
      <w:pPr>
        <w:widowControl/>
        <w:numPr>
          <w:ilvl w:val="0"/>
          <w:numId w:val="0"/>
        </w:numPr>
        <w:spacing w:line="600" w:lineRule="exact"/>
        <w:jc w:val="both"/>
        <w:rPr>
          <w:rFonts w:hint="eastAsia" w:ascii="仿宋" w:hAnsi="仿宋" w:eastAsia="仿宋" w:cs="宋体"/>
          <w:kern w:val="0"/>
          <w:sz w:val="32"/>
          <w:szCs w:val="32"/>
        </w:rPr>
      </w:pPr>
    </w:p>
    <w:p>
      <w:pPr>
        <w:widowControl/>
        <w:numPr>
          <w:ilvl w:val="0"/>
          <w:numId w:val="0"/>
        </w:numPr>
        <w:spacing w:line="600" w:lineRule="exact"/>
        <w:jc w:val="both"/>
        <w:rPr>
          <w:rFonts w:hint="eastAsia" w:ascii="仿宋" w:hAnsi="仿宋" w:eastAsia="仿宋" w:cs="宋体"/>
          <w:kern w:val="0"/>
          <w:sz w:val="32"/>
          <w:szCs w:val="32"/>
        </w:rPr>
      </w:pPr>
    </w:p>
    <w:tbl>
      <w:tblPr>
        <w:tblStyle w:val="5"/>
        <w:tblpPr w:leftFromText="180" w:rightFromText="180" w:vertAnchor="text" w:horzAnchor="page" w:tblpX="1804" w:tblpY="582"/>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6"/>
        <w:gridCol w:w="436"/>
        <w:gridCol w:w="436"/>
        <w:gridCol w:w="1096"/>
        <w:gridCol w:w="1066"/>
        <w:gridCol w:w="682"/>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2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3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2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23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1"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6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6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38"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1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59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6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6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1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62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23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23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4"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3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bl>
    <w:p>
      <w:pPr>
        <w:widowControl/>
        <w:numPr>
          <w:ilvl w:val="0"/>
          <w:numId w:val="0"/>
        </w:numPr>
        <w:spacing w:line="600" w:lineRule="exact"/>
        <w:jc w:val="both"/>
        <w:rPr>
          <w:rFonts w:hint="eastAsia" w:ascii="仿宋" w:hAnsi="仿宋" w:eastAsia="仿宋" w:cs="宋体"/>
          <w:kern w:val="0"/>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6"/>
        <w:gridCol w:w="1119"/>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000" w:type="pct"/>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8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8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编制单位：南昌市文化艺术中心</w:t>
            </w:r>
          </w:p>
        </w:tc>
        <w:tc>
          <w:tcPr>
            <w:tcW w:w="670"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14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bl>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 xml:space="preserve">第三部分  </w:t>
      </w:r>
      <w:r>
        <w:rPr>
          <w:rFonts w:hint="eastAsia" w:ascii="宋体" w:hAnsi="宋体"/>
          <w:b/>
          <w:sz w:val="32"/>
          <w:szCs w:val="32"/>
          <w:lang w:eastAsia="zh-CN"/>
        </w:rPr>
        <w:t>2021</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年度收入总计</w:t>
      </w:r>
      <w:r>
        <w:rPr>
          <w:rFonts w:hint="eastAsia" w:ascii="仿宋" w:hAnsi="仿宋" w:eastAsia="仿宋"/>
          <w:sz w:val="30"/>
          <w:szCs w:val="30"/>
          <w:lang w:val="en-US" w:eastAsia="zh-CN"/>
        </w:rPr>
        <w:t>5093.83</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176.77</w:t>
      </w:r>
      <w:r>
        <w:rPr>
          <w:rFonts w:hint="eastAsia" w:ascii="仿宋" w:hAnsi="仿宋" w:eastAsia="仿宋"/>
          <w:sz w:val="30"/>
          <w:szCs w:val="30"/>
        </w:rPr>
        <w:t>万元；本年收入合计</w:t>
      </w:r>
      <w:r>
        <w:rPr>
          <w:rFonts w:hint="eastAsia" w:ascii="仿宋" w:hAnsi="仿宋" w:eastAsia="仿宋"/>
          <w:sz w:val="30"/>
          <w:szCs w:val="30"/>
          <w:lang w:val="en-US" w:eastAsia="zh-CN"/>
        </w:rPr>
        <w:t>5071.38</w:t>
      </w:r>
      <w:r>
        <w:rPr>
          <w:rFonts w:hint="eastAsia" w:ascii="仿宋" w:hAnsi="仿宋" w:eastAsia="仿宋"/>
          <w:sz w:val="30"/>
          <w:szCs w:val="30"/>
        </w:rPr>
        <w:t>万元</w:t>
      </w:r>
      <w:r>
        <w:rPr>
          <w:rFonts w:hint="eastAsia" w:ascii="仿宋" w:hAnsi="仿宋" w:eastAsia="仿宋"/>
          <w:sz w:val="30"/>
          <w:szCs w:val="30"/>
          <w:lang w:eastAsia="zh-CN"/>
        </w:rPr>
        <w:t>，较</w:t>
      </w:r>
      <w:r>
        <w:rPr>
          <w:rFonts w:hint="eastAsia" w:ascii="仿宋" w:hAnsi="仿宋" w:eastAsia="仿宋"/>
          <w:sz w:val="30"/>
          <w:szCs w:val="30"/>
          <w:lang w:val="en-US" w:eastAsia="zh-CN"/>
        </w:rPr>
        <w:t>2020年增加22.45万元，增加0.4%。主要原因：增加了南昌市井冈山剧院综合楼装修工程项目。</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4917.06</w:t>
      </w:r>
      <w:r>
        <w:rPr>
          <w:rFonts w:hint="eastAsia" w:ascii="仿宋" w:hAnsi="仿宋" w:eastAsia="仿宋"/>
          <w:sz w:val="30"/>
          <w:szCs w:val="30"/>
        </w:rPr>
        <w:t>万元，占</w:t>
      </w:r>
      <w:r>
        <w:rPr>
          <w:rFonts w:hint="eastAsia" w:ascii="仿宋" w:hAnsi="仿宋" w:eastAsia="仿宋"/>
          <w:sz w:val="30"/>
          <w:szCs w:val="30"/>
          <w:lang w:val="en-US" w:eastAsia="zh-CN"/>
        </w:rPr>
        <w:t>96.52</w:t>
      </w:r>
      <w:r>
        <w:rPr>
          <w:rFonts w:hint="eastAsia" w:ascii="仿宋" w:hAnsi="仿宋" w:eastAsia="仿宋"/>
          <w:sz w:val="30"/>
          <w:szCs w:val="30"/>
        </w:rPr>
        <w:t xml:space="preserve"> %；</w:t>
      </w:r>
      <w:r>
        <w:rPr>
          <w:rFonts w:hint="eastAsia" w:ascii="仿宋" w:hAnsi="仿宋" w:eastAsia="仿宋"/>
          <w:sz w:val="30"/>
          <w:szCs w:val="30"/>
          <w:lang w:val="en-US" w:eastAsia="zh-CN"/>
        </w:rPr>
        <w:t>年初结转结余176.77万元，占3.48%，</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年度支出总计</w:t>
      </w:r>
      <w:r>
        <w:rPr>
          <w:rFonts w:hint="eastAsia" w:ascii="仿宋" w:hAnsi="仿宋" w:eastAsia="仿宋"/>
          <w:sz w:val="30"/>
          <w:szCs w:val="30"/>
          <w:lang w:val="en-US" w:eastAsia="zh-CN"/>
        </w:rPr>
        <w:t>5093.83</w:t>
      </w:r>
      <w:r>
        <w:rPr>
          <w:rFonts w:hint="eastAsia" w:ascii="仿宋" w:hAnsi="仿宋" w:eastAsia="仿宋"/>
          <w:sz w:val="30"/>
          <w:szCs w:val="30"/>
        </w:rPr>
        <w:t>万元，其中本年支出合计</w:t>
      </w:r>
      <w:r>
        <w:rPr>
          <w:rFonts w:hint="eastAsia" w:ascii="仿宋" w:hAnsi="仿宋" w:eastAsia="仿宋"/>
          <w:sz w:val="30"/>
          <w:szCs w:val="30"/>
          <w:lang w:val="en-US" w:eastAsia="zh-CN"/>
        </w:rPr>
        <w:t>5093.83</w:t>
      </w:r>
      <w:r>
        <w:rPr>
          <w:rFonts w:hint="eastAsia" w:ascii="仿宋" w:hAnsi="仿宋" w:eastAsia="仿宋"/>
          <w:sz w:val="30"/>
          <w:szCs w:val="30"/>
        </w:rPr>
        <w:t>万元</w:t>
      </w:r>
      <w:r>
        <w:rPr>
          <w:rFonts w:hint="eastAsia" w:ascii="仿宋" w:hAnsi="仿宋" w:eastAsia="仿宋"/>
          <w:sz w:val="30"/>
          <w:szCs w:val="30"/>
          <w:lang w:eastAsia="zh-CN"/>
        </w:rPr>
        <w:t>，较</w:t>
      </w:r>
      <w:r>
        <w:rPr>
          <w:rFonts w:hint="eastAsia" w:ascii="仿宋" w:hAnsi="仿宋" w:eastAsia="仿宋"/>
          <w:sz w:val="30"/>
          <w:szCs w:val="30"/>
          <w:lang w:val="en-US" w:eastAsia="zh-CN"/>
        </w:rPr>
        <w:t>2020年增加22.45万元，增加0.4%，主要原因：增加了南昌市井冈山剧院综合楼装修工程项目</w:t>
      </w:r>
      <w:bookmarkStart w:id="0" w:name="_GoBack"/>
      <w:bookmarkEnd w:id="0"/>
      <w:r>
        <w:rPr>
          <w:rFonts w:hint="eastAsia" w:ascii="仿宋" w:hAnsi="仿宋" w:eastAsia="仿宋"/>
          <w:sz w:val="30"/>
          <w:szCs w:val="30"/>
        </w:rPr>
        <w:t>；年末结转和结余</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eastAsia="zh-CN"/>
        </w:rPr>
        <w:t>，较</w:t>
      </w:r>
      <w:r>
        <w:rPr>
          <w:rFonts w:hint="eastAsia" w:ascii="仿宋" w:hAnsi="仿宋" w:eastAsia="仿宋"/>
          <w:sz w:val="30"/>
          <w:szCs w:val="30"/>
          <w:lang w:val="en-US" w:eastAsia="zh-CN"/>
        </w:rPr>
        <w:t>2020年减少176.77万元。</w:t>
      </w:r>
    </w:p>
    <w:p>
      <w:pPr>
        <w:ind w:firstLine="630"/>
        <w:jc w:val="left"/>
        <w:rPr>
          <w:rFonts w:hint="default"/>
          <w:szCs w:val="30"/>
          <w:lang w:val="en-US" w:eastAsia="zh-CN"/>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4096.69</w:t>
      </w:r>
      <w:r>
        <w:rPr>
          <w:rFonts w:hint="eastAsia" w:ascii="仿宋" w:hAnsi="仿宋" w:eastAsia="仿宋"/>
          <w:sz w:val="30"/>
          <w:szCs w:val="30"/>
        </w:rPr>
        <w:t>万元，占</w:t>
      </w:r>
      <w:r>
        <w:rPr>
          <w:rFonts w:hint="eastAsia" w:ascii="仿宋" w:hAnsi="仿宋" w:eastAsia="仿宋"/>
          <w:sz w:val="30"/>
          <w:szCs w:val="30"/>
          <w:lang w:val="en-US" w:eastAsia="zh-CN"/>
        </w:rPr>
        <w:t>80.42</w:t>
      </w:r>
      <w:r>
        <w:rPr>
          <w:rFonts w:hint="eastAsia" w:ascii="仿宋" w:hAnsi="仿宋" w:eastAsia="仿宋"/>
          <w:sz w:val="30"/>
          <w:szCs w:val="30"/>
        </w:rPr>
        <w:t>%；项目支出</w:t>
      </w:r>
      <w:r>
        <w:rPr>
          <w:rFonts w:hint="default" w:ascii="仿宋" w:hAnsi="仿宋" w:eastAsia="仿宋"/>
          <w:sz w:val="30"/>
          <w:szCs w:val="30"/>
          <w:lang w:val="en-US" w:eastAsia="zh-CN"/>
        </w:rPr>
        <w:t>997.14</w:t>
      </w:r>
      <w:r>
        <w:rPr>
          <w:rFonts w:hint="eastAsia" w:ascii="仿宋" w:hAnsi="仿宋" w:eastAsia="仿宋"/>
          <w:sz w:val="30"/>
          <w:szCs w:val="30"/>
        </w:rPr>
        <w:t>万元，占</w:t>
      </w:r>
      <w:r>
        <w:rPr>
          <w:rFonts w:hint="eastAsia" w:ascii="仿宋" w:hAnsi="仿宋" w:eastAsia="仿宋"/>
          <w:sz w:val="30"/>
          <w:szCs w:val="30"/>
          <w:lang w:val="en-US" w:eastAsia="zh-CN"/>
        </w:rPr>
        <w:t>19.57</w:t>
      </w:r>
      <w:r>
        <w:rPr>
          <w:rFonts w:hint="eastAsia" w:ascii="仿宋" w:hAnsi="仿宋" w:eastAsia="仿宋"/>
          <w:sz w:val="30"/>
          <w:szCs w:val="30"/>
        </w:rPr>
        <w:t>；经营支出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5093.83</w:t>
      </w:r>
      <w:r>
        <w:rPr>
          <w:rFonts w:hint="eastAsia" w:ascii="仿宋" w:hAnsi="仿宋" w:eastAsia="仿宋"/>
          <w:sz w:val="30"/>
          <w:szCs w:val="30"/>
        </w:rPr>
        <w:t>万元，决算数为</w:t>
      </w:r>
      <w:r>
        <w:rPr>
          <w:rFonts w:hint="eastAsia" w:ascii="仿宋" w:hAnsi="仿宋" w:eastAsia="仿宋"/>
          <w:sz w:val="30"/>
          <w:szCs w:val="30"/>
          <w:lang w:val="en-US" w:eastAsia="zh-CN"/>
        </w:rPr>
        <w:t>5093.83</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%。其中：</w:t>
      </w:r>
    </w:p>
    <w:p>
      <w:pPr>
        <w:numPr>
          <w:ilvl w:val="0"/>
          <w:numId w:val="3"/>
        </w:numPr>
        <w:ind w:firstLine="630"/>
        <w:jc w:val="left"/>
        <w:rPr>
          <w:rFonts w:hint="eastAsia" w:ascii="仿宋" w:hAnsi="仿宋" w:eastAsia="仿宋"/>
          <w:sz w:val="30"/>
          <w:szCs w:val="30"/>
        </w:rPr>
      </w:pPr>
      <w:r>
        <w:rPr>
          <w:rFonts w:hint="eastAsia" w:ascii="仿宋" w:hAnsi="仿宋" w:eastAsia="仿宋"/>
          <w:sz w:val="30"/>
          <w:szCs w:val="30"/>
        </w:rPr>
        <w:t>文化旅游体育与传媒支出</w:t>
      </w:r>
      <w:r>
        <w:rPr>
          <w:rFonts w:hint="eastAsia" w:ascii="仿宋" w:hAnsi="仿宋" w:eastAsia="仿宋"/>
          <w:sz w:val="30"/>
          <w:szCs w:val="30"/>
          <w:lang w:val="en-US" w:eastAsia="zh-CN"/>
        </w:rPr>
        <w:t>年初预算数为3510.09万元，决算数为3510.09万元，完成年初预算数的100%。</w:t>
      </w:r>
    </w:p>
    <w:p>
      <w:pPr>
        <w:numPr>
          <w:ilvl w:val="0"/>
          <w:numId w:val="0"/>
        </w:numPr>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二、</w:t>
      </w:r>
      <w:r>
        <w:rPr>
          <w:rFonts w:hint="eastAsia" w:ascii="仿宋" w:hAnsi="仿宋" w:eastAsia="仿宋"/>
          <w:sz w:val="30"/>
          <w:szCs w:val="30"/>
        </w:rPr>
        <w:t>社会保障和就业支出</w:t>
      </w:r>
      <w:r>
        <w:rPr>
          <w:rFonts w:hint="eastAsia" w:ascii="仿宋" w:hAnsi="仿宋" w:eastAsia="仿宋"/>
          <w:sz w:val="30"/>
          <w:szCs w:val="30"/>
          <w:lang w:val="en-US" w:eastAsia="zh-CN"/>
        </w:rPr>
        <w:t>年初预算数为452.81万元，决算数为452.81万元，完成年初预算数的100%。</w:t>
      </w:r>
    </w:p>
    <w:p>
      <w:pPr>
        <w:numPr>
          <w:ilvl w:val="0"/>
          <w:numId w:val="0"/>
        </w:numPr>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三、</w:t>
      </w:r>
      <w:r>
        <w:rPr>
          <w:rFonts w:hint="eastAsia" w:ascii="仿宋" w:hAnsi="仿宋" w:eastAsia="仿宋"/>
          <w:sz w:val="30"/>
          <w:szCs w:val="30"/>
        </w:rPr>
        <w:t>住房保障支出</w:t>
      </w:r>
      <w:r>
        <w:rPr>
          <w:rFonts w:hint="eastAsia" w:ascii="仿宋" w:hAnsi="仿宋" w:eastAsia="仿宋"/>
          <w:sz w:val="30"/>
          <w:szCs w:val="30"/>
          <w:lang w:val="en-US" w:eastAsia="zh-CN"/>
        </w:rPr>
        <w:t>年初预算数为387.92万元，决算数为387.92万元，完成年初预算数的100%。</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4096.69</w:t>
      </w:r>
      <w:r>
        <w:rPr>
          <w:rFonts w:hint="eastAsia" w:ascii="仿宋" w:hAnsi="仿宋" w:eastAsia="仿宋"/>
          <w:sz w:val="30"/>
          <w:szCs w:val="30"/>
        </w:rPr>
        <w:t>万元，其中：</w:t>
      </w:r>
    </w:p>
    <w:p>
      <w:pPr>
        <w:ind w:firstLine="585"/>
        <w:jc w:val="left"/>
        <w:rPr>
          <w:rFonts w:hint="default" w:ascii="仿宋" w:hAnsi="仿宋" w:eastAsia="仿宋"/>
          <w:sz w:val="30"/>
          <w:szCs w:val="30"/>
          <w:lang w:val="en-US" w:eastAsia="zh-CN"/>
        </w:rPr>
      </w:pPr>
      <w:r>
        <w:rPr>
          <w:rFonts w:hint="eastAsia" w:ascii="仿宋" w:hAnsi="仿宋" w:eastAsia="仿宋"/>
          <w:sz w:val="30"/>
          <w:szCs w:val="30"/>
        </w:rPr>
        <w:t>（一）工资福利支出</w:t>
      </w:r>
      <w:r>
        <w:rPr>
          <w:rFonts w:hint="eastAsia" w:ascii="仿宋" w:hAnsi="仿宋" w:eastAsia="仿宋"/>
          <w:sz w:val="30"/>
          <w:szCs w:val="30"/>
          <w:lang w:val="en-US" w:eastAsia="zh-CN"/>
        </w:rPr>
        <w:t>3863.85</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_GB2312" w:hAnsi="仿宋_GB2312" w:eastAsia="仿宋_GB2312" w:cs="Times New Roman"/>
          <w:color w:val="auto"/>
          <w:sz w:val="30"/>
          <w:szCs w:val="30"/>
          <w:lang w:val="en-US" w:eastAsia="zh-CN"/>
        </w:rPr>
        <w:t>较2020年减少813.74万元，减少17.39%，主要原因是：人员减少，奖金减少。</w:t>
      </w:r>
    </w:p>
    <w:p>
      <w:pPr>
        <w:ind w:firstLine="585"/>
        <w:jc w:val="left"/>
        <w:rPr>
          <w:rFonts w:hint="default" w:ascii="仿宋" w:hAnsi="仿宋" w:eastAsia="仿宋"/>
          <w:sz w:val="30"/>
          <w:szCs w:val="30"/>
          <w:lang w:val="en-US" w:eastAsia="zh-CN"/>
        </w:rPr>
      </w:pPr>
      <w:r>
        <w:rPr>
          <w:rFonts w:hint="eastAsia" w:ascii="仿宋" w:hAnsi="仿宋" w:eastAsia="仿宋"/>
          <w:sz w:val="30"/>
          <w:szCs w:val="30"/>
        </w:rPr>
        <w:t>（二）商品和服务支出</w:t>
      </w:r>
      <w:r>
        <w:rPr>
          <w:rFonts w:hint="eastAsia" w:ascii="仿宋" w:hAnsi="仿宋" w:eastAsia="仿宋"/>
          <w:sz w:val="30"/>
          <w:szCs w:val="30"/>
          <w:lang w:val="en-US" w:eastAsia="zh-CN"/>
        </w:rPr>
        <w:t>128.11</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_GB2312" w:hAnsi="仿宋_GB2312" w:eastAsia="仿宋_GB2312" w:cs="Times New Roman"/>
          <w:color w:val="auto"/>
          <w:sz w:val="30"/>
          <w:szCs w:val="30"/>
          <w:lang w:val="en-US" w:eastAsia="zh-CN"/>
        </w:rPr>
        <w:t>较2020年增加46.66万元，增加57.29%，主要原因是:演出任务增加。</w:t>
      </w:r>
    </w:p>
    <w:p>
      <w:pPr>
        <w:ind w:firstLine="585"/>
        <w:jc w:val="left"/>
        <w:rPr>
          <w:rFonts w:hint="default" w:ascii="仿宋" w:hAnsi="仿宋" w:eastAsia="仿宋"/>
          <w:sz w:val="30"/>
          <w:szCs w:val="30"/>
          <w:lang w:val="en-US" w:eastAsia="zh-CN"/>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104.73</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_GB2312" w:hAnsi="仿宋_GB2312" w:eastAsia="仿宋_GB2312" w:cs="Times New Roman"/>
          <w:color w:val="auto"/>
          <w:sz w:val="30"/>
          <w:szCs w:val="30"/>
          <w:lang w:val="en-US" w:eastAsia="zh-CN"/>
        </w:rPr>
        <w:t>较2020年增加52.55万元，增加100%，主要原因是:退休死亡抚恤增加。</w:t>
      </w:r>
    </w:p>
    <w:p>
      <w:pPr>
        <w:ind w:firstLine="630"/>
        <w:jc w:val="left"/>
        <w:rPr>
          <w:rFonts w:hint="eastAsia" w:ascii="仿宋" w:hAnsi="仿宋" w:eastAsia="仿宋"/>
          <w:sz w:val="30"/>
          <w:szCs w:val="30"/>
          <w:lang w:eastAsia="zh-CN"/>
        </w:rPr>
      </w:pPr>
    </w:p>
    <w:p>
      <w:pPr>
        <w:pStyle w:val="2"/>
        <w:rPr>
          <w:rFonts w:hint="eastAsia"/>
          <w:lang w:eastAsia="zh-CN"/>
        </w:rPr>
      </w:pP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w:t>
      </w:r>
      <w:r>
        <w:rPr>
          <w:rFonts w:hint="eastAsia" w:ascii="仿宋" w:hAnsi="仿宋" w:eastAsia="仿宋"/>
          <w:sz w:val="30"/>
          <w:szCs w:val="30"/>
        </w:rPr>
        <w:t>年度一般公共预算财政拨款“三公”经费支出年初预算数为</w:t>
      </w:r>
      <w:r>
        <w:rPr>
          <w:rFonts w:hint="eastAsia" w:ascii="仿宋" w:hAnsi="仿宋" w:eastAsia="仿宋"/>
          <w:sz w:val="30"/>
          <w:szCs w:val="30"/>
          <w:lang w:val="en-US" w:eastAsia="zh-CN"/>
        </w:rPr>
        <w:t>2.6</w:t>
      </w:r>
      <w:r>
        <w:rPr>
          <w:rFonts w:hint="eastAsia" w:ascii="仿宋" w:hAnsi="仿宋" w:eastAsia="仿宋"/>
          <w:sz w:val="30"/>
          <w:szCs w:val="30"/>
        </w:rPr>
        <w:t>万元，决算数为</w:t>
      </w:r>
      <w:r>
        <w:rPr>
          <w:rFonts w:hint="eastAsia" w:ascii="仿宋" w:hAnsi="仿宋" w:eastAsia="仿宋"/>
          <w:sz w:val="30"/>
          <w:szCs w:val="30"/>
          <w:lang w:val="en-US" w:eastAsia="zh-CN"/>
        </w:rPr>
        <w:t>1.07</w:t>
      </w:r>
      <w:r>
        <w:rPr>
          <w:rFonts w:hint="eastAsia" w:ascii="仿宋" w:hAnsi="仿宋" w:eastAsia="仿宋"/>
          <w:sz w:val="30"/>
          <w:szCs w:val="30"/>
        </w:rPr>
        <w:t>万元，完成预算的</w:t>
      </w:r>
      <w:r>
        <w:rPr>
          <w:rFonts w:hint="eastAsia" w:ascii="仿宋" w:hAnsi="仿宋" w:eastAsia="仿宋"/>
          <w:sz w:val="30"/>
          <w:szCs w:val="30"/>
          <w:lang w:val="en-US" w:eastAsia="zh-CN"/>
        </w:rPr>
        <w:t>41.15</w:t>
      </w:r>
      <w:r>
        <w:rPr>
          <w:rFonts w:hint="eastAsia" w:ascii="仿宋" w:hAnsi="仿宋" w:eastAsia="仿宋"/>
          <w:sz w:val="30"/>
          <w:szCs w:val="30"/>
        </w:rPr>
        <w:t>%，其中：</w:t>
      </w:r>
    </w:p>
    <w:p>
      <w:pPr>
        <w:numPr>
          <w:ilvl w:val="0"/>
          <w:numId w:val="4"/>
        </w:numPr>
        <w:ind w:firstLine="630"/>
        <w:jc w:val="left"/>
        <w:rPr>
          <w:rFonts w:hint="eastAsia" w:ascii="仿宋" w:hAnsi="仿宋" w:eastAsia="仿宋"/>
          <w:sz w:val="30"/>
          <w:szCs w:val="30"/>
          <w:lang w:eastAsia="zh-CN"/>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，决算数较</w:t>
      </w:r>
      <w:r>
        <w:rPr>
          <w:rFonts w:hint="eastAsia" w:ascii="仿宋" w:hAnsi="仿宋" w:eastAsia="仿宋"/>
          <w:sz w:val="30"/>
          <w:szCs w:val="30"/>
          <w:lang w:val="en-US" w:eastAsia="zh-CN"/>
        </w:rPr>
        <w:t>2020年增加（减少）0万元，增长（下降）0%</w:t>
      </w:r>
      <w:r>
        <w:rPr>
          <w:rFonts w:hint="eastAsia" w:ascii="仿宋" w:hAnsi="仿宋" w:eastAsia="仿宋"/>
          <w:sz w:val="30"/>
          <w:szCs w:val="30"/>
          <w:lang w:eastAsia="zh-CN"/>
        </w:rPr>
        <w:t>。决算数较年初预算数增加（减少）的主要原因是：未有出国工作安排。</w:t>
      </w:r>
    </w:p>
    <w:p>
      <w:pPr>
        <w:numPr>
          <w:ilvl w:val="0"/>
          <w:numId w:val="4"/>
        </w:numPr>
        <w:ind w:firstLine="630"/>
        <w:jc w:val="left"/>
        <w:rPr>
          <w:rFonts w:hint="eastAsia" w:ascii="仿宋" w:hAnsi="仿宋" w:eastAsia="仿宋"/>
          <w:sz w:val="30"/>
          <w:szCs w:val="30"/>
          <w:lang w:eastAsia="zh-CN"/>
        </w:rPr>
      </w:pPr>
      <w:r>
        <w:rPr>
          <w:rFonts w:hint="eastAsia" w:ascii="仿宋" w:hAnsi="仿宋" w:eastAsia="仿宋"/>
          <w:sz w:val="30"/>
          <w:szCs w:val="30"/>
        </w:rPr>
        <w:t>公务接待费支出年初预算数为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，决算数较</w:t>
      </w:r>
      <w:r>
        <w:rPr>
          <w:rFonts w:hint="eastAsia" w:ascii="仿宋" w:hAnsi="仿宋" w:eastAsia="仿宋"/>
          <w:sz w:val="30"/>
          <w:szCs w:val="30"/>
          <w:lang w:val="en-US" w:eastAsia="zh-CN"/>
        </w:rPr>
        <w:t>2020年增加（减少）0万元，增长（下降）0%</w:t>
      </w:r>
      <w:r>
        <w:rPr>
          <w:rFonts w:hint="eastAsia" w:ascii="仿宋" w:hAnsi="仿宋" w:eastAsia="仿宋"/>
          <w:sz w:val="30"/>
          <w:szCs w:val="30"/>
          <w:lang w:eastAsia="zh-CN"/>
        </w:rPr>
        <w:t>。决算数较年初预算数增加（减少）的主要原因是：无公务接待费支出。</w:t>
      </w:r>
    </w:p>
    <w:p>
      <w:pPr>
        <w:numPr>
          <w:ilvl w:val="0"/>
          <w:numId w:val="4"/>
        </w:numPr>
        <w:ind w:firstLine="630"/>
        <w:jc w:val="left"/>
        <w:rPr>
          <w:rFonts w:hint="eastAsia" w:ascii="仿宋" w:hAnsi="仿宋" w:eastAsia="仿宋"/>
          <w:sz w:val="30"/>
          <w:szCs w:val="30"/>
          <w:lang w:eastAsia="zh-CN"/>
        </w:rPr>
      </w:pPr>
      <w:r>
        <w:rPr>
          <w:rFonts w:hint="eastAsia" w:ascii="仿宋" w:hAnsi="仿宋" w:eastAsia="仿宋"/>
          <w:sz w:val="30"/>
          <w:szCs w:val="30"/>
        </w:rPr>
        <w:t>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%，公务用车运行维护费支出初预算数为</w:t>
      </w:r>
      <w:r>
        <w:rPr>
          <w:rFonts w:hint="eastAsia" w:ascii="仿宋" w:hAnsi="仿宋" w:eastAsia="仿宋"/>
          <w:sz w:val="30"/>
          <w:szCs w:val="30"/>
          <w:lang w:val="en-US" w:eastAsia="zh-CN"/>
        </w:rPr>
        <w:t>2.6</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1.07</w:t>
      </w:r>
      <w:r>
        <w:rPr>
          <w:rFonts w:hint="eastAsia" w:ascii="仿宋" w:hAnsi="仿宋" w:eastAsia="仿宋"/>
          <w:sz w:val="30"/>
          <w:szCs w:val="30"/>
        </w:rPr>
        <w:t>万元，完成预算的</w:t>
      </w:r>
      <w:r>
        <w:rPr>
          <w:rFonts w:hint="eastAsia" w:ascii="仿宋" w:hAnsi="仿宋" w:eastAsia="仿宋"/>
          <w:sz w:val="30"/>
          <w:szCs w:val="30"/>
          <w:lang w:val="en-US" w:eastAsia="zh-CN"/>
        </w:rPr>
        <w:t>41.15</w:t>
      </w:r>
      <w:r>
        <w:rPr>
          <w:rFonts w:hint="eastAsia" w:ascii="仿宋" w:hAnsi="仿宋" w:eastAsia="仿宋"/>
          <w:sz w:val="30"/>
          <w:szCs w:val="30"/>
        </w:rPr>
        <w:t>%</w:t>
      </w:r>
      <w:r>
        <w:rPr>
          <w:rFonts w:hint="eastAsia" w:ascii="仿宋" w:hAnsi="仿宋" w:eastAsia="仿宋"/>
          <w:sz w:val="30"/>
          <w:szCs w:val="30"/>
          <w:lang w:eastAsia="zh-CN"/>
        </w:rPr>
        <w:t>，决算数较</w:t>
      </w:r>
      <w:r>
        <w:rPr>
          <w:rFonts w:hint="eastAsia" w:ascii="仿宋" w:hAnsi="仿宋" w:eastAsia="仿宋"/>
          <w:sz w:val="30"/>
          <w:szCs w:val="30"/>
          <w:lang w:val="en-US" w:eastAsia="zh-CN"/>
        </w:rPr>
        <w:t>2020年增加（减少）</w:t>
      </w:r>
      <w:r>
        <w:rPr>
          <w:rFonts w:hint="eastAsia" w:ascii="仿宋" w:hAnsi="仿宋" w:eastAsia="仿宋"/>
          <w:sz w:val="30"/>
          <w:szCs w:val="30"/>
          <w:lang w:eastAsia="zh-CN"/>
        </w:rPr>
        <w:t>决算数较年初预算数增加（减少）的主要原因是：公车维修费用增加。</w:t>
      </w:r>
    </w:p>
    <w:p>
      <w:pPr>
        <w:ind w:firstLine="630"/>
        <w:jc w:val="left"/>
        <w:rPr>
          <w:rFonts w:hint="eastAsia" w:ascii="仿宋" w:hAnsi="仿宋" w:eastAsia="仿宋"/>
          <w:sz w:val="30"/>
          <w:szCs w:val="30"/>
          <w:lang w:eastAsia="zh-CN"/>
        </w:rPr>
      </w:pPr>
    </w:p>
    <w:p>
      <w:pPr>
        <w:numPr>
          <w:ilvl w:val="0"/>
          <w:numId w:val="5"/>
        </w:numPr>
        <w:ind w:firstLine="630"/>
        <w:jc w:val="left"/>
        <w:rPr>
          <w:rFonts w:hint="eastAsia" w:ascii="黑体" w:hAnsi="黑体" w:eastAsia="黑体"/>
          <w:sz w:val="30"/>
          <w:szCs w:val="30"/>
        </w:rPr>
      </w:pPr>
      <w:r>
        <w:rPr>
          <w:rFonts w:hint="eastAsia" w:ascii="黑体" w:hAnsi="黑体" w:eastAsia="黑体"/>
          <w:sz w:val="30"/>
          <w:szCs w:val="30"/>
        </w:rPr>
        <w:t>机关运行经费支出情况说明</w:t>
      </w:r>
    </w:p>
    <w:p>
      <w:pPr>
        <w:ind w:firstLine="630"/>
        <w:jc w:val="both"/>
        <w:rPr>
          <w:rFonts w:hint="eastAsia" w:ascii="仿宋_GB2312" w:hAnsi="仿宋_GB2312" w:eastAsia="仿宋_GB2312" w:cs="Times New Roman"/>
          <w:color w:val="auto"/>
          <w:sz w:val="30"/>
          <w:szCs w:val="30"/>
          <w:lang w:val="en-US" w:eastAsia="zh-CN"/>
        </w:rPr>
      </w:pPr>
      <w:r>
        <w:rPr>
          <w:rFonts w:hint="eastAsia" w:ascii="黑体" w:hAnsi="黑体" w:eastAsia="黑体"/>
          <w:sz w:val="30"/>
          <w:szCs w:val="30"/>
          <w:lang w:val="en-US" w:eastAsia="zh-CN"/>
        </w:rPr>
        <w:t xml:space="preserve">    </w:t>
      </w:r>
      <w:r>
        <w:rPr>
          <w:rFonts w:hint="eastAsia" w:ascii="仿宋_GB2312" w:hAnsi="仿宋_GB2312" w:eastAsia="仿宋_GB2312" w:cs="Times New Roman"/>
          <w:color w:val="auto"/>
          <w:sz w:val="30"/>
          <w:szCs w:val="30"/>
          <w:lang w:val="en-US" w:eastAsia="zh-CN"/>
        </w:rPr>
        <w:t>本单位不是</w:t>
      </w:r>
      <w:r>
        <w:rPr>
          <w:rFonts w:hint="eastAsia" w:ascii="仿宋_GB2312" w:hAnsi="仿宋_GB2312" w:eastAsia="仿宋_GB2312" w:cs="Times New Roman"/>
          <w:color w:val="auto"/>
          <w:sz w:val="30"/>
          <w:szCs w:val="30"/>
        </w:rPr>
        <w:t>行政单位</w:t>
      </w:r>
      <w:r>
        <w:rPr>
          <w:rFonts w:hint="eastAsia" w:ascii="仿宋_GB2312" w:hAnsi="仿宋_GB2312" w:eastAsia="仿宋_GB2312" w:cs="Times New Roman"/>
          <w:color w:val="auto"/>
          <w:sz w:val="30"/>
          <w:szCs w:val="30"/>
          <w:lang w:val="en-US" w:eastAsia="zh-CN"/>
        </w:rPr>
        <w:t>或</w:t>
      </w:r>
      <w:r>
        <w:rPr>
          <w:rFonts w:hint="eastAsia" w:ascii="仿宋_GB2312" w:hAnsi="仿宋_GB2312" w:eastAsia="仿宋_GB2312" w:cs="Times New Roman"/>
          <w:color w:val="auto"/>
          <w:sz w:val="30"/>
          <w:szCs w:val="30"/>
        </w:rPr>
        <w:t>参照公务员法管理事业单位</w:t>
      </w:r>
      <w:r>
        <w:rPr>
          <w:rFonts w:hint="eastAsia" w:ascii="仿宋_GB2312" w:hAnsi="仿宋_GB2312" w:eastAsia="仿宋_GB2312" w:cs="Times New Roman"/>
          <w:color w:val="auto"/>
          <w:sz w:val="30"/>
          <w:szCs w:val="30"/>
          <w:lang w:eastAsia="zh-CN"/>
        </w:rPr>
        <w:t>，</w:t>
      </w:r>
      <w:r>
        <w:rPr>
          <w:rFonts w:hint="eastAsia" w:ascii="仿宋_GB2312" w:hAnsi="仿宋_GB2312" w:eastAsia="仿宋_GB2312" w:cs="Times New Roman"/>
          <w:color w:val="auto"/>
          <w:sz w:val="30"/>
          <w:szCs w:val="30"/>
          <w:lang w:val="en-US" w:eastAsia="zh-CN"/>
        </w:rPr>
        <w:t xml:space="preserve">故无机关运行经费支出。 </w:t>
      </w:r>
    </w:p>
    <w:p>
      <w:pPr>
        <w:numPr>
          <w:ilvl w:val="0"/>
          <w:numId w:val="0"/>
        </w:numPr>
        <w:jc w:val="left"/>
        <w:rPr>
          <w:rFonts w:hint="default" w:ascii="黑体" w:hAnsi="黑体" w:eastAsia="黑体"/>
          <w:sz w:val="30"/>
          <w:szCs w:val="30"/>
          <w:lang w:val="en-US" w:eastAsia="zh-CN"/>
        </w:rPr>
      </w:pPr>
      <w:r>
        <w:rPr>
          <w:rFonts w:hint="eastAsia" w:ascii="黑体" w:hAnsi="黑体" w:eastAsia="黑体"/>
          <w:sz w:val="30"/>
          <w:szCs w:val="30"/>
          <w:lang w:val="en-US" w:eastAsia="zh-CN"/>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本部门</w:t>
      </w:r>
      <w:r>
        <w:rPr>
          <w:rFonts w:hint="eastAsia" w:ascii="仿宋" w:hAnsi="仿宋" w:eastAsia="仿宋" w:cs="Times New Roman"/>
          <w:sz w:val="30"/>
          <w:szCs w:val="30"/>
          <w:lang w:eastAsia="zh-CN"/>
        </w:rPr>
        <w:t>2021</w:t>
      </w:r>
      <w:r>
        <w:rPr>
          <w:rFonts w:hint="eastAsia" w:ascii="仿宋" w:hAnsi="仿宋" w:eastAsia="仿宋" w:cs="Times New Roman"/>
          <w:sz w:val="30"/>
          <w:szCs w:val="30"/>
        </w:rPr>
        <w:t>年度政府采购支出总额</w:t>
      </w:r>
      <w:r>
        <w:rPr>
          <w:rFonts w:hint="eastAsia" w:ascii="仿宋" w:hAnsi="仿宋" w:eastAsia="仿宋" w:cs="Times New Roman"/>
          <w:sz w:val="30"/>
          <w:szCs w:val="30"/>
          <w:lang w:val="en-US" w:eastAsia="zh-CN"/>
        </w:rPr>
        <w:t>55</w:t>
      </w:r>
      <w:r>
        <w:rPr>
          <w:rFonts w:hint="eastAsia" w:ascii="仿宋" w:hAnsi="仿宋" w:eastAsia="仿宋" w:cs="Times New Roman"/>
          <w:sz w:val="30"/>
          <w:szCs w:val="30"/>
        </w:rPr>
        <w:t>万元，其中：政府采购货物支出</w:t>
      </w:r>
      <w:r>
        <w:rPr>
          <w:rFonts w:hint="eastAsia" w:ascii="仿宋" w:hAnsi="仿宋" w:eastAsia="仿宋" w:cs="Times New Roman"/>
          <w:sz w:val="30"/>
          <w:szCs w:val="30"/>
          <w:lang w:val="en-US" w:eastAsia="zh-CN"/>
        </w:rPr>
        <w:t>55</w:t>
      </w:r>
      <w:r>
        <w:rPr>
          <w:rFonts w:hint="eastAsia" w:ascii="仿宋" w:hAnsi="仿宋" w:eastAsia="仿宋" w:cs="Times New Roman"/>
          <w:sz w:val="30"/>
          <w:szCs w:val="30"/>
        </w:rPr>
        <w:t>万元、政府采购工程支出</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万元、政府采购服务支出</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万元。授予中小企业合同金额</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万元，占政府采购支出总额的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%，其中：授予小微企业合同金额</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 xml:space="preserve"> 万元，占政府采购支出总额的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w:t>
      </w:r>
      <w:r>
        <w:rPr>
          <w:rFonts w:hint="eastAsia" w:ascii="仿宋" w:hAnsi="仿宋" w:eastAsia="仿宋"/>
          <w:kern w:val="0"/>
          <w:sz w:val="30"/>
          <w:szCs w:val="30"/>
          <w:lang w:eastAsia="zh-CN"/>
        </w:rPr>
        <w:t>2021</w:t>
      </w:r>
      <w:r>
        <w:rPr>
          <w:rFonts w:hint="eastAsia" w:ascii="仿宋" w:hAnsi="仿宋" w:eastAsia="仿宋"/>
          <w:kern w:val="0"/>
          <w:sz w:val="30"/>
          <w:szCs w:val="30"/>
        </w:rPr>
        <w:t>年12月31日，本部门共有车辆</w:t>
      </w:r>
      <w:r>
        <w:rPr>
          <w:rFonts w:hint="eastAsia" w:ascii="仿宋" w:hAnsi="仿宋" w:eastAsia="仿宋"/>
          <w:kern w:val="0"/>
          <w:sz w:val="30"/>
          <w:szCs w:val="30"/>
          <w:lang w:val="en-US" w:eastAsia="zh-CN"/>
        </w:rPr>
        <w:t>5</w:t>
      </w:r>
      <w:r>
        <w:rPr>
          <w:rFonts w:hint="eastAsia" w:ascii="仿宋" w:hAnsi="仿宋" w:eastAsia="仿宋"/>
          <w:kern w:val="0"/>
          <w:sz w:val="30"/>
          <w:szCs w:val="30"/>
        </w:rPr>
        <w:t xml:space="preserve">辆，其中，副部（省）级及以上领导用车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辆、主要领导干部用车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辆、机要通信用车</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辆、应急保障用车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辆、执法执勤用车 </w:t>
      </w:r>
      <w:r>
        <w:rPr>
          <w:rFonts w:hint="eastAsia" w:ascii="仿宋" w:hAnsi="仿宋" w:eastAsia="仿宋"/>
          <w:kern w:val="0"/>
          <w:sz w:val="30"/>
          <w:szCs w:val="30"/>
          <w:lang w:val="en-US" w:eastAsia="zh-CN"/>
        </w:rPr>
        <w:t>0</w:t>
      </w:r>
      <w:r>
        <w:rPr>
          <w:rFonts w:hint="eastAsia" w:ascii="仿宋" w:hAnsi="仿宋" w:eastAsia="仿宋"/>
          <w:kern w:val="0"/>
          <w:sz w:val="30"/>
          <w:szCs w:val="30"/>
        </w:rPr>
        <w:t>辆、特种专业技术用车</w:t>
      </w:r>
      <w:r>
        <w:rPr>
          <w:rFonts w:hint="eastAsia" w:ascii="仿宋" w:hAnsi="仿宋" w:eastAsia="仿宋"/>
          <w:kern w:val="0"/>
          <w:sz w:val="30"/>
          <w:szCs w:val="30"/>
          <w:lang w:val="en-US" w:eastAsia="zh-CN"/>
        </w:rPr>
        <w:t>2</w:t>
      </w:r>
      <w:r>
        <w:rPr>
          <w:rFonts w:hint="eastAsia" w:ascii="仿宋" w:hAnsi="仿宋" w:eastAsia="仿宋"/>
          <w:kern w:val="0"/>
          <w:sz w:val="30"/>
          <w:szCs w:val="30"/>
        </w:rPr>
        <w:t>辆、其他用车</w:t>
      </w:r>
      <w:r>
        <w:rPr>
          <w:rFonts w:hint="eastAsia" w:ascii="仿宋" w:hAnsi="仿宋" w:eastAsia="仿宋"/>
          <w:kern w:val="0"/>
          <w:sz w:val="30"/>
          <w:szCs w:val="30"/>
          <w:lang w:val="en-US" w:eastAsia="zh-CN"/>
        </w:rPr>
        <w:t>3</w:t>
      </w:r>
      <w:r>
        <w:rPr>
          <w:rFonts w:hint="eastAsia" w:ascii="仿宋" w:hAnsi="仿宋" w:eastAsia="仿宋"/>
          <w:kern w:val="0"/>
          <w:sz w:val="30"/>
          <w:szCs w:val="30"/>
        </w:rPr>
        <w:t xml:space="preserve">辆；单位价值50万元以上通用设备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台（套）；单位价值100万元以上专用设备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台（套）。</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300" w:firstLineChars="1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一、项目基本情况</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二、绩效评价工作情况</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三、绩效评价指标分析情况</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（一）项目投入指标</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（二）项目过程指标</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1、业务管理指标得分情况分析：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2、财务管理指标得分情况分析：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（三）项目产出指标</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1、产出数量指标得分情况分析：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2、产出质量指标得分情况分析：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3、产出时效指标得分情况分析：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4、产出成本指标得分情况分析：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（四）：项目效果指标</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1、经济效益指标得分情况分析：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2、社会效益指标得分情况分析：                                  </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3、生态效益指标得分情况分析：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4、可持续影响指标得分情况分析：</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（五）项目效果指标</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四、综合评价结论</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五、绩效评价结果应用建议：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六、项目实施经验及做法、存在的问题和改进措施</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（一）项目实施经验及做法：</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（二）存在的问题：</w:t>
      </w:r>
    </w:p>
    <w:p>
      <w:pPr>
        <w:autoSpaceDE w:val="0"/>
        <w:autoSpaceDN w:val="0"/>
        <w:adjustRightInd w:val="0"/>
        <w:spacing w:line="360" w:lineRule="auto"/>
        <w:ind w:firstLine="585"/>
        <w:jc w:val="left"/>
        <w:rPr>
          <w:rFonts w:hint="eastAsia" w:ascii="宋体" w:hAnsi="宋体"/>
          <w:b/>
          <w:sz w:val="32"/>
          <w:szCs w:val="32"/>
        </w:rPr>
      </w:pPr>
      <w:r>
        <w:rPr>
          <w:rFonts w:hint="eastAsia" w:ascii="仿宋" w:hAnsi="仿宋" w:eastAsia="仿宋" w:cs="仿宋_GB2312"/>
          <w:kern w:val="0"/>
          <w:sz w:val="30"/>
          <w:szCs w:val="30"/>
        </w:rPr>
        <w:t xml:space="preserve">（三）改进措施：                 </w:t>
      </w: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7"/>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ind w:firstLine="630"/>
        <w:jc w:val="left"/>
        <w:rPr>
          <w:rFonts w:hint="eastAsia" w:ascii="仿宋" w:hAnsi="仿宋" w:eastAsia="仿宋"/>
          <w:sz w:val="30"/>
          <w:szCs w:val="30"/>
        </w:rPr>
      </w:pPr>
      <w:r>
        <w:rPr>
          <w:rFonts w:hint="eastAsia" w:ascii="仿宋" w:hAnsi="仿宋" w:eastAsia="仿宋"/>
          <w:sz w:val="30"/>
          <w:szCs w:val="30"/>
        </w:rPr>
        <w:t>1．财政拨款收入：指本年度从本级财政部门取得的财政拨款，包括一般公共预算财政拨款和政府性基金预算财政拨款。</w:t>
      </w:r>
    </w:p>
    <w:p>
      <w:pPr>
        <w:ind w:firstLine="630"/>
        <w:jc w:val="left"/>
        <w:rPr>
          <w:rFonts w:hint="eastAsia" w:ascii="仿宋" w:hAnsi="仿宋" w:eastAsia="仿宋"/>
          <w:sz w:val="30"/>
          <w:szCs w:val="30"/>
        </w:rPr>
      </w:pPr>
      <w:r>
        <w:rPr>
          <w:rFonts w:hint="eastAsia" w:ascii="仿宋" w:hAnsi="仿宋" w:eastAsia="仿宋"/>
          <w:sz w:val="30"/>
          <w:szCs w:val="30"/>
        </w:rPr>
        <w:t>2．事业收入：指事业单位开展专业业务活动及其辅助活动取得的收入；事业单位收到的财政专户实际核拨的教育收费等资金在此反映。</w:t>
      </w:r>
    </w:p>
    <w:p>
      <w:pPr>
        <w:ind w:firstLine="630"/>
        <w:jc w:val="left"/>
        <w:rPr>
          <w:rFonts w:hint="eastAsia" w:ascii="仿宋" w:hAnsi="仿宋" w:eastAsia="仿宋"/>
          <w:sz w:val="30"/>
          <w:szCs w:val="30"/>
        </w:rPr>
      </w:pPr>
      <w:r>
        <w:rPr>
          <w:rFonts w:hint="eastAsia" w:ascii="仿宋" w:hAnsi="仿宋" w:eastAsia="仿宋"/>
          <w:sz w:val="30"/>
          <w:szCs w:val="30"/>
        </w:rPr>
        <w:t>3．经营收入：指事业单位在专业业务活动及其辅助活动之外开展非独立核算经营活动取得的收入。</w:t>
      </w:r>
    </w:p>
    <w:p>
      <w:pPr>
        <w:ind w:firstLine="630"/>
        <w:jc w:val="left"/>
        <w:rPr>
          <w:rFonts w:hint="eastAsia" w:ascii="仿宋" w:hAnsi="仿宋" w:eastAsia="仿宋"/>
          <w:sz w:val="30"/>
          <w:szCs w:val="30"/>
        </w:rPr>
      </w:pPr>
      <w:r>
        <w:rPr>
          <w:rFonts w:hint="eastAsia" w:ascii="仿宋" w:hAnsi="仿宋" w:eastAsia="仿宋"/>
          <w:sz w:val="30"/>
          <w:szCs w:val="30"/>
        </w:rPr>
        <w:t>4．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ind w:firstLine="630"/>
        <w:jc w:val="left"/>
        <w:rPr>
          <w:rFonts w:hint="eastAsia" w:ascii="仿宋" w:hAnsi="仿宋" w:eastAsia="仿宋"/>
          <w:sz w:val="30"/>
          <w:szCs w:val="30"/>
        </w:rPr>
      </w:pPr>
      <w:r>
        <w:rPr>
          <w:rFonts w:hint="eastAsia" w:ascii="仿宋" w:hAnsi="仿宋" w:eastAsia="仿宋"/>
          <w:sz w:val="30"/>
          <w:szCs w:val="30"/>
        </w:rPr>
        <w:t>5．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30"/>
        <w:jc w:val="left"/>
        <w:rPr>
          <w:rFonts w:hint="eastAsia" w:ascii="仿宋" w:hAnsi="仿宋" w:eastAsia="仿宋"/>
          <w:sz w:val="30"/>
          <w:szCs w:val="30"/>
        </w:rPr>
      </w:pPr>
      <w:r>
        <w:rPr>
          <w:rFonts w:hint="eastAsia" w:ascii="仿宋" w:hAnsi="仿宋" w:eastAsia="仿宋"/>
          <w:sz w:val="30"/>
          <w:szCs w:val="30"/>
        </w:rPr>
        <w:t>6．年初结转和结余：指单位上年结转本年使用的基本支出结转、项目支出结转和结余、经营结余。不包括事业单位净资产项下的事业基金和专用基金。</w:t>
      </w:r>
    </w:p>
    <w:p>
      <w:pPr>
        <w:ind w:firstLine="630"/>
        <w:jc w:val="left"/>
        <w:rPr>
          <w:rFonts w:hint="eastAsia" w:ascii="仿宋" w:hAnsi="仿宋" w:eastAsia="仿宋"/>
          <w:sz w:val="30"/>
          <w:szCs w:val="30"/>
        </w:rPr>
      </w:pPr>
      <w:r>
        <w:rPr>
          <w:rFonts w:hint="eastAsia" w:ascii="仿宋" w:hAnsi="仿宋" w:eastAsia="仿宋"/>
          <w:sz w:val="30"/>
          <w:szCs w:val="30"/>
        </w:rPr>
        <w:t>7．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30"/>
        <w:jc w:val="left"/>
        <w:rPr>
          <w:rFonts w:hint="eastAsia" w:ascii="仿宋" w:hAnsi="仿宋" w:eastAsia="仿宋"/>
          <w:sz w:val="30"/>
          <w:szCs w:val="30"/>
        </w:rPr>
      </w:pPr>
      <w:r>
        <w:rPr>
          <w:rFonts w:hint="eastAsia" w:ascii="仿宋" w:hAnsi="仿宋" w:eastAsia="仿宋"/>
          <w:sz w:val="30"/>
          <w:szCs w:val="30"/>
        </w:rPr>
        <w:t>8．年末结转和结余：指单位结转下年的基本支出结转、项目支出结转和结余、经营结余。不包括事业单位净资产项下的事业基金和专用基金。</w:t>
      </w:r>
    </w:p>
    <w:p>
      <w:pPr>
        <w:ind w:firstLine="630"/>
        <w:jc w:val="left"/>
        <w:rPr>
          <w:rFonts w:hint="eastAsia" w:ascii="仿宋" w:hAnsi="仿宋" w:eastAsia="仿宋"/>
          <w:sz w:val="30"/>
          <w:szCs w:val="30"/>
        </w:rPr>
      </w:pPr>
      <w:r>
        <w:rPr>
          <w:rFonts w:hint="eastAsia" w:ascii="仿宋" w:hAnsi="仿宋" w:eastAsia="仿宋"/>
          <w:sz w:val="30"/>
          <w:szCs w:val="30"/>
        </w:rPr>
        <w:t>9．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30"/>
        <w:jc w:val="left"/>
        <w:rPr>
          <w:rFonts w:hint="eastAsia" w:ascii="仿宋" w:hAnsi="仿宋" w:eastAsia="仿宋"/>
          <w:sz w:val="30"/>
          <w:szCs w:val="30"/>
        </w:rPr>
      </w:pPr>
      <w:r>
        <w:rPr>
          <w:rFonts w:hint="eastAsia" w:ascii="仿宋" w:hAnsi="仿宋" w:eastAsia="仿宋"/>
          <w:sz w:val="30"/>
          <w:szCs w:val="30"/>
        </w:rPr>
        <w:t>10．项目支出：指在基本支出之外为完成特定行政任务和事业发展目标所发生的支出。</w:t>
      </w:r>
    </w:p>
    <w:p>
      <w:pPr>
        <w:ind w:firstLine="630"/>
        <w:jc w:val="left"/>
        <w:rPr>
          <w:rFonts w:hint="eastAsia" w:ascii="仿宋" w:hAnsi="仿宋" w:eastAsia="仿宋"/>
          <w:sz w:val="30"/>
          <w:szCs w:val="30"/>
        </w:rPr>
      </w:pPr>
      <w:r>
        <w:rPr>
          <w:rFonts w:hint="eastAsia" w:ascii="仿宋" w:hAnsi="仿宋" w:eastAsia="仿宋"/>
          <w:sz w:val="30"/>
          <w:szCs w:val="30"/>
        </w:rPr>
        <w:t>11．经营支出：指事业单位在专业业务活动及其辅助活动之外开展非独立核算经营活动发生的支出。</w:t>
      </w:r>
    </w:p>
    <w:p>
      <w:pPr>
        <w:ind w:firstLine="630"/>
        <w:jc w:val="left"/>
        <w:rPr>
          <w:rFonts w:hint="eastAsia" w:ascii="仿宋" w:hAnsi="仿宋" w:eastAsia="仿宋"/>
          <w:sz w:val="30"/>
          <w:szCs w:val="30"/>
        </w:rPr>
      </w:pPr>
      <w:r>
        <w:rPr>
          <w:rFonts w:hint="eastAsia" w:ascii="仿宋" w:hAnsi="仿宋" w:eastAsia="仿宋"/>
          <w:sz w:val="30"/>
          <w:szCs w:val="30"/>
        </w:rPr>
        <w:t>12．“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30"/>
        <w:jc w:val="left"/>
        <w:rPr>
          <w:rFonts w:hint="eastAsia" w:ascii="仿宋" w:hAnsi="仿宋" w:eastAsia="仿宋"/>
          <w:sz w:val="30"/>
          <w:szCs w:val="30"/>
        </w:rPr>
      </w:pPr>
      <w:r>
        <w:rPr>
          <w:rFonts w:hint="eastAsia" w:ascii="仿宋" w:hAnsi="仿宋" w:eastAsia="仿宋"/>
          <w:sz w:val="30"/>
          <w:szCs w:val="30"/>
        </w:rPr>
        <w:t>13．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ind w:firstLine="630"/>
        <w:jc w:val="left"/>
        <w:rPr>
          <w:rFonts w:hint="eastAsia" w:ascii="仿宋" w:hAnsi="仿宋" w:eastAsia="仿宋"/>
          <w:sz w:val="30"/>
          <w:szCs w:val="30"/>
        </w:rPr>
      </w:pPr>
      <w:r>
        <w:rPr>
          <w:rFonts w:hint="eastAsia" w:ascii="仿宋" w:hAnsi="仿宋" w:eastAsia="仿宋"/>
          <w:sz w:val="30"/>
          <w:szCs w:val="30"/>
        </w:rPr>
        <w:t>14．工资福利支出（支出经济分类科目类级）：反映单位开支的在职职工和编制外长期聘用人员的各类劳动报酬，以及为上述人员缴纳的各项社会保险费等。</w:t>
      </w:r>
    </w:p>
    <w:p>
      <w:pPr>
        <w:ind w:firstLine="630"/>
        <w:jc w:val="left"/>
        <w:rPr>
          <w:rFonts w:hint="eastAsia" w:ascii="仿宋" w:hAnsi="仿宋" w:eastAsia="仿宋"/>
          <w:sz w:val="30"/>
          <w:szCs w:val="30"/>
        </w:rPr>
      </w:pPr>
      <w:r>
        <w:rPr>
          <w:rFonts w:hint="eastAsia" w:ascii="仿宋" w:hAnsi="仿宋" w:eastAsia="仿宋"/>
          <w:sz w:val="30"/>
          <w:szCs w:val="30"/>
        </w:rPr>
        <w:t>15．商品和服务支出（支出经济分类科目类级）：反映单位购买商品和服务的支出（不包括用于购置固定资产的支出、战略性和应急储备支出）。</w:t>
      </w:r>
    </w:p>
    <w:p>
      <w:pPr>
        <w:ind w:firstLine="630"/>
        <w:jc w:val="left"/>
        <w:rPr>
          <w:rFonts w:hint="eastAsia" w:ascii="仿宋" w:hAnsi="仿宋" w:eastAsia="仿宋"/>
          <w:sz w:val="30"/>
          <w:szCs w:val="30"/>
        </w:rPr>
      </w:pPr>
      <w:r>
        <w:rPr>
          <w:rFonts w:hint="eastAsia" w:ascii="仿宋" w:hAnsi="仿宋" w:eastAsia="仿宋"/>
          <w:sz w:val="30"/>
          <w:szCs w:val="30"/>
        </w:rPr>
        <w:t>16．对个人和家庭的补助（支出经济分类科目类级）：反映用于对个人和家庭的补助支出。</w:t>
      </w:r>
    </w:p>
    <w:p>
      <w:pPr>
        <w:ind w:firstLine="630"/>
        <w:jc w:val="left"/>
        <w:rPr>
          <w:rFonts w:hint="eastAsia" w:ascii="仿宋" w:hAnsi="仿宋" w:eastAsia="仿宋"/>
          <w:sz w:val="30"/>
          <w:szCs w:val="30"/>
        </w:rPr>
      </w:pPr>
      <w:r>
        <w:rPr>
          <w:rFonts w:hint="eastAsia" w:ascii="仿宋" w:hAnsi="仿宋" w:eastAsia="仿宋"/>
          <w:sz w:val="30"/>
          <w:szCs w:val="30"/>
        </w:rPr>
        <w:t>17．其他资本性支出（支出经济分类科目类级）：反映非各级发展与改革部门集中安排的用于购置固定资产、战略性和应急性储备、土地和无形资产，以及构建基础设施、大型修缮和财政支持企业更新改造所发生的支出。</w:t>
      </w:r>
    </w:p>
    <w:p>
      <w:pPr>
        <w:ind w:firstLine="630"/>
        <w:jc w:val="left"/>
        <w:rPr>
          <w:rFonts w:ascii="仿宋" w:hAnsi="仿宋" w:eastAsia="仿宋"/>
          <w:sz w:val="30"/>
          <w:szCs w:val="30"/>
        </w:rPr>
      </w:pPr>
    </w:p>
    <w:p/>
    <w:p>
      <w:pPr>
        <w:ind w:firstLine="630"/>
        <w:jc w:val="left"/>
      </w:pPr>
    </w:p>
    <w:p/>
    <w:sectPr>
      <w:pgSz w:w="11906" w:h="16838"/>
      <w:pgMar w:top="1723" w:right="1800" w:bottom="1723" w:left="197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8A84B"/>
    <w:multiLevelType w:val="singleLevel"/>
    <w:tmpl w:val="9628A84B"/>
    <w:lvl w:ilvl="0" w:tentative="0">
      <w:start w:val="1"/>
      <w:numFmt w:val="chineseCounting"/>
      <w:suff w:val="nothing"/>
      <w:lvlText w:val="（%1）"/>
      <w:lvlJc w:val="left"/>
      <w:rPr>
        <w:rFonts w:hint="eastAsia"/>
      </w:rPr>
    </w:lvl>
  </w:abstractNum>
  <w:abstractNum w:abstractNumId="1">
    <w:nsid w:val="98D89D90"/>
    <w:multiLevelType w:val="singleLevel"/>
    <w:tmpl w:val="98D89D90"/>
    <w:lvl w:ilvl="0" w:tentative="0">
      <w:start w:val="2"/>
      <w:numFmt w:val="chineseCounting"/>
      <w:suff w:val="space"/>
      <w:lvlText w:val="第%1部分"/>
      <w:lvlJc w:val="left"/>
      <w:rPr>
        <w:rFonts w:hint="eastAsia"/>
      </w:rPr>
    </w:lvl>
  </w:abstractNum>
  <w:abstractNum w:abstractNumId="2">
    <w:nsid w:val="345C7629"/>
    <w:multiLevelType w:val="singleLevel"/>
    <w:tmpl w:val="345C7629"/>
    <w:lvl w:ilvl="0" w:tentative="0">
      <w:start w:val="1"/>
      <w:numFmt w:val="chineseCounting"/>
      <w:suff w:val="nothing"/>
      <w:lvlText w:val="%1、"/>
      <w:lvlJc w:val="left"/>
      <w:rPr>
        <w:rFonts w:hint="eastAsia"/>
      </w:rPr>
    </w:lvl>
  </w:abstractNum>
  <w:abstractNum w:abstractNumId="3">
    <w:nsid w:val="567B6538"/>
    <w:multiLevelType w:val="singleLevel"/>
    <w:tmpl w:val="567B6538"/>
    <w:lvl w:ilvl="0" w:tentative="0">
      <w:start w:val="8"/>
      <w:numFmt w:val="chineseCounting"/>
      <w:suff w:val="nothing"/>
      <w:lvlText w:val="%1、"/>
      <w:lvlJc w:val="left"/>
      <w:pPr>
        <w:ind w:left="1280" w:firstLine="0"/>
      </w:pPr>
      <w:rPr>
        <w:rFonts w:hint="eastAsia"/>
      </w:rPr>
    </w:lvl>
  </w:abstractNum>
  <w:abstractNum w:abstractNumId="4">
    <w:nsid w:val="5BEBDD1D"/>
    <w:multiLevelType w:val="singleLevel"/>
    <w:tmpl w:val="5BEBDD1D"/>
    <w:lvl w:ilvl="0" w:tentative="0">
      <w:start w:val="6"/>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Yjc4YmYyMGJlMmY4YjFlNDE5OTBjMzJjYTViYTIifQ=="/>
  </w:docVars>
  <w:rsids>
    <w:rsidRoot w:val="6C28701E"/>
    <w:rsid w:val="01E2191F"/>
    <w:rsid w:val="100619F7"/>
    <w:rsid w:val="340F00E5"/>
    <w:rsid w:val="39D63EDE"/>
    <w:rsid w:val="59C56888"/>
    <w:rsid w:val="659153F3"/>
    <w:rsid w:val="6B0D25E4"/>
    <w:rsid w:val="6C28701E"/>
    <w:rsid w:val="7F97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eastAsia="仿宋_GB2312"/>
      <w:sz w:val="3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8479</Words>
  <Characters>11904</Characters>
  <Lines>0</Lines>
  <Paragraphs>0</Paragraphs>
  <TotalTime>0</TotalTime>
  <ScaleCrop>false</ScaleCrop>
  <LinksUpToDate>false</LinksUpToDate>
  <CharactersWithSpaces>12485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2022-10-12T03:54:00Z</dcterms:created>
  <dc:creator>余懿</dc:creator>
  <cp:lastModifiedBy>lenovo</cp:lastModifiedBy>
  <dcterms:modified xsi:type="dcterms:W3CDTF">2023-10-13T08:18:43Z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1E804D73773047ADADF44E9FAAB2B212</vt:lpwstr>
  </property>
</Properties>
</file>