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left"/>
        <w:rPr>
          <w:rFonts w:hint="default"/>
          <w:b/>
          <w:bCs/>
          <w:sz w:val="32"/>
          <w:szCs w:val="32"/>
          <w:lang w:val="en-US" w:eastAsia="zh-CN"/>
        </w:rPr>
      </w:pPr>
      <w:r>
        <w:rPr>
          <w:rFonts w:hint="eastAsia"/>
          <w:b/>
          <w:bCs/>
          <w:sz w:val="32"/>
          <w:szCs w:val="32"/>
          <w:lang w:val="en-US" w:eastAsia="zh-CN"/>
        </w:rPr>
        <w:t>附件</w:t>
      </w:r>
      <w:r>
        <w:rPr>
          <w:rFonts w:hint="default"/>
          <w:b/>
          <w:bCs/>
          <w:sz w:val="32"/>
          <w:szCs w:val="32"/>
          <w:lang w:val="en-US" w:eastAsia="zh-CN"/>
        </w:rPr>
        <w:t>：</w:t>
      </w:r>
    </w:p>
    <w:p>
      <w:pPr>
        <w:pStyle w:val="8"/>
        <w:rPr>
          <w:lang w:val="en-US" w:eastAsia="zh-CN"/>
        </w:rPr>
      </w:pPr>
    </w:p>
    <w:p>
      <w:pPr>
        <w:jc w:val="center"/>
        <w:rPr>
          <w:rFonts w:hint="eastAsia" w:ascii="方正小标宋简体" w:hAnsi="宋体" w:eastAsia="方正小标宋简体" w:cs="Arial"/>
          <w:bCs/>
          <w:color w:val="000000"/>
          <w:sz w:val="44"/>
          <w:szCs w:val="44"/>
        </w:rPr>
      </w:pPr>
      <w:r>
        <w:rPr>
          <w:rFonts w:hint="eastAsia" w:ascii="方正小标宋简体" w:hAnsi="宋体" w:eastAsia="方正小标宋简体" w:cs="Arial"/>
          <w:bCs/>
          <w:color w:val="000000"/>
          <w:sz w:val="44"/>
          <w:szCs w:val="44"/>
        </w:rPr>
        <w:t>项目支出部门评价报告</w:t>
      </w:r>
    </w:p>
    <w:p>
      <w:pPr>
        <w:jc w:val="center"/>
        <w:rPr>
          <w:rFonts w:hint="eastAsia" w:ascii="黑体" w:hAnsi="宋体" w:eastAsia="黑体" w:cs="Arial"/>
          <w:bCs/>
          <w:color w:val="000000"/>
          <w:sz w:val="32"/>
          <w:szCs w:val="32"/>
        </w:rPr>
      </w:pPr>
    </w:p>
    <w:p>
      <w:pPr>
        <w:spacing w:line="600" w:lineRule="exact"/>
        <w:ind w:firstLine="800" w:firstLineChars="250"/>
        <w:jc w:val="left"/>
        <w:rPr>
          <w:rFonts w:hint="default" w:ascii="黑体" w:hAnsi="黑体" w:eastAsia="黑体" w:cs="黑体"/>
          <w:bCs/>
          <w:color w:val="000000"/>
          <w:sz w:val="32"/>
          <w:szCs w:val="32"/>
          <w:u w:val="single"/>
          <w:lang w:val="en-US" w:eastAsia="zh-CN"/>
        </w:rPr>
      </w:pPr>
      <w:r>
        <w:rPr>
          <w:rFonts w:hint="eastAsia" w:ascii="黑体" w:hAnsi="宋体" w:eastAsia="黑体" w:cs="Arial"/>
          <w:bCs/>
          <w:color w:val="000000"/>
          <w:sz w:val="32"/>
          <w:szCs w:val="32"/>
        </w:rPr>
        <w:t>评价类型：</w:t>
      </w:r>
      <w:r>
        <w:rPr>
          <w:rFonts w:hint="eastAsia" w:ascii="黑体" w:hAnsi="黑体" w:eastAsia="黑体" w:cs="黑体"/>
          <w:bCs/>
          <w:color w:val="000000"/>
          <w:sz w:val="32"/>
          <w:szCs w:val="32"/>
          <w:u w:val="single"/>
          <w:lang w:val="en-US" w:eastAsia="zh-CN"/>
        </w:rPr>
        <w:t xml:space="preserve">          </w:t>
      </w:r>
      <w:r>
        <w:rPr>
          <w:rFonts w:hint="eastAsia" w:ascii="黑体" w:hAnsi="黑体" w:eastAsia="黑体" w:cs="黑体"/>
          <w:bCs/>
          <w:color w:val="000000"/>
          <w:sz w:val="32"/>
          <w:szCs w:val="32"/>
          <w:u w:val="single"/>
        </w:rPr>
        <w:t>完成结果评价</w:t>
      </w:r>
      <w:r>
        <w:rPr>
          <w:rFonts w:hint="eastAsia" w:ascii="黑体" w:hAnsi="黑体" w:eastAsia="黑体" w:cs="黑体"/>
          <w:bCs/>
          <w:color w:val="000000"/>
          <w:sz w:val="32"/>
          <w:szCs w:val="32"/>
          <w:u w:val="single"/>
          <w:lang w:val="en-US" w:eastAsia="zh-CN"/>
        </w:rPr>
        <w:t xml:space="preserve">               </w:t>
      </w:r>
    </w:p>
    <w:p>
      <w:pPr>
        <w:spacing w:line="600" w:lineRule="exact"/>
        <w:jc w:val="left"/>
        <w:rPr>
          <w:rFonts w:hint="eastAsia" w:ascii="黑体" w:hAnsi="宋体" w:eastAsia="黑体" w:cs="Arial"/>
          <w:bCs/>
          <w:color w:val="000000"/>
          <w:sz w:val="32"/>
          <w:szCs w:val="32"/>
        </w:rPr>
      </w:pPr>
    </w:p>
    <w:p>
      <w:pPr>
        <w:spacing w:line="600" w:lineRule="exact"/>
        <w:ind w:firstLine="800" w:firstLineChars="250"/>
        <w:jc w:val="left"/>
        <w:rPr>
          <w:rFonts w:hint="eastAsia" w:ascii="黑体" w:hAnsi="宋体" w:eastAsia="黑体" w:cs="Arial"/>
          <w:bCs/>
          <w:color w:val="000000"/>
          <w:sz w:val="32"/>
          <w:szCs w:val="32"/>
          <w:u w:val="single"/>
          <w:lang w:eastAsia="zh-CN"/>
        </w:rPr>
      </w:pPr>
      <w:r>
        <w:rPr>
          <w:rFonts w:hint="eastAsia" w:ascii="黑体" w:hAnsi="宋体" w:eastAsia="黑体" w:cs="Arial"/>
          <w:bCs/>
          <w:color w:val="000000"/>
          <w:sz w:val="32"/>
          <w:szCs w:val="32"/>
        </w:rPr>
        <w:t>项目名称：</w:t>
      </w:r>
      <w:r>
        <w:rPr>
          <w:rFonts w:hint="eastAsia" w:ascii="黑体" w:hAnsi="黑体" w:eastAsia="黑体" w:cs="黑体"/>
          <w:bCs/>
          <w:color w:val="000000"/>
          <w:sz w:val="32"/>
          <w:szCs w:val="32"/>
          <w:u w:val="single"/>
          <w:lang w:val="en-US" w:eastAsia="zh-CN"/>
        </w:rPr>
        <w:t xml:space="preserve">        文化旅游发展专项                 </w:t>
      </w:r>
    </w:p>
    <w:p>
      <w:pPr>
        <w:spacing w:line="600" w:lineRule="exact"/>
        <w:jc w:val="left"/>
        <w:rPr>
          <w:rFonts w:hint="eastAsia" w:ascii="黑体" w:hAnsi="宋体" w:eastAsia="黑体" w:cs="Arial"/>
          <w:bCs/>
          <w:color w:val="000000"/>
          <w:sz w:val="32"/>
          <w:szCs w:val="32"/>
        </w:rPr>
      </w:pPr>
    </w:p>
    <w:p>
      <w:pPr>
        <w:spacing w:line="600" w:lineRule="exact"/>
        <w:ind w:firstLine="800" w:firstLineChars="250"/>
        <w:jc w:val="left"/>
        <w:rPr>
          <w:rFonts w:hint="eastAsia" w:ascii="黑体" w:hAnsi="宋体" w:eastAsia="黑体" w:cs="Arial"/>
          <w:bCs/>
          <w:color w:val="000000"/>
          <w:sz w:val="32"/>
          <w:szCs w:val="32"/>
          <w:u w:val="single"/>
          <w:lang w:eastAsia="zh-CN"/>
        </w:rPr>
      </w:pPr>
      <w:r>
        <w:rPr>
          <w:rFonts w:hint="eastAsia" w:ascii="黑体" w:hAnsi="宋体" w:eastAsia="黑体" w:cs="Arial"/>
          <w:bCs/>
          <w:color w:val="000000"/>
          <w:sz w:val="32"/>
          <w:szCs w:val="32"/>
        </w:rPr>
        <w:t>项目单位：</w:t>
      </w:r>
      <w:r>
        <w:rPr>
          <w:rFonts w:hint="eastAsia" w:ascii="黑体" w:hAnsi="黑体" w:eastAsia="黑体" w:cs="黑体"/>
          <w:bCs/>
          <w:color w:val="000000"/>
          <w:sz w:val="32"/>
          <w:szCs w:val="32"/>
          <w:u w:val="single"/>
          <w:lang w:val="en-US" w:eastAsia="zh-CN"/>
        </w:rPr>
        <w:t xml:space="preserve">      南昌市文化广电新闻出版旅游局       </w:t>
      </w:r>
    </w:p>
    <w:p>
      <w:pPr>
        <w:spacing w:line="600" w:lineRule="exact"/>
        <w:jc w:val="left"/>
        <w:rPr>
          <w:rFonts w:hint="eastAsia" w:ascii="黑体" w:hAnsi="宋体" w:eastAsia="黑体" w:cs="Arial"/>
          <w:bCs/>
          <w:color w:val="000000"/>
          <w:sz w:val="32"/>
          <w:szCs w:val="32"/>
        </w:rPr>
      </w:pPr>
    </w:p>
    <w:p>
      <w:pPr>
        <w:spacing w:line="600" w:lineRule="exact"/>
        <w:ind w:firstLine="800" w:firstLineChars="250"/>
        <w:jc w:val="left"/>
        <w:rPr>
          <w:rFonts w:hint="eastAsia" w:ascii="黑体" w:hAnsi="宋体" w:eastAsia="黑体" w:cs="Arial"/>
          <w:bCs/>
          <w:color w:val="000000"/>
          <w:sz w:val="32"/>
          <w:szCs w:val="32"/>
        </w:rPr>
      </w:pPr>
      <w:r>
        <w:rPr>
          <w:rFonts w:hint="eastAsia" w:ascii="黑体" w:hAnsi="宋体" w:eastAsia="黑体" w:cs="Arial"/>
          <w:bCs/>
          <w:color w:val="000000"/>
          <w:sz w:val="32"/>
          <w:szCs w:val="32"/>
        </w:rPr>
        <w:t>主管部门：</w:t>
      </w:r>
      <w:r>
        <w:rPr>
          <w:rFonts w:hint="eastAsia" w:ascii="黑体" w:hAnsi="黑体" w:eastAsia="黑体" w:cs="黑体"/>
          <w:bCs/>
          <w:color w:val="000000"/>
          <w:sz w:val="32"/>
          <w:szCs w:val="32"/>
          <w:u w:val="single"/>
          <w:lang w:val="en-US" w:eastAsia="zh-CN"/>
        </w:rPr>
        <w:t xml:space="preserve">    南昌市文化广电新闻出版旅游局 </w:t>
      </w:r>
      <w:r>
        <w:rPr>
          <w:rFonts w:hint="eastAsia" w:ascii="黑体" w:hAnsi="黑体" w:eastAsia="黑体" w:cs="黑体"/>
          <w:bCs/>
          <w:color w:val="000000"/>
          <w:sz w:val="32"/>
          <w:szCs w:val="32"/>
          <w:u w:val="single"/>
        </w:rPr>
        <w:t>（盖章）</w:t>
      </w:r>
    </w:p>
    <w:p>
      <w:pPr>
        <w:spacing w:line="600" w:lineRule="exact"/>
        <w:jc w:val="left"/>
        <w:rPr>
          <w:rFonts w:hint="eastAsia" w:ascii="黑体" w:hAnsi="宋体" w:eastAsia="黑体" w:cs="Arial"/>
          <w:bCs/>
          <w:color w:val="000000"/>
          <w:sz w:val="32"/>
          <w:szCs w:val="32"/>
        </w:rPr>
      </w:pPr>
    </w:p>
    <w:p>
      <w:pPr>
        <w:spacing w:line="600" w:lineRule="exact"/>
        <w:ind w:firstLine="800" w:firstLineChars="250"/>
        <w:jc w:val="left"/>
        <w:rPr>
          <w:rFonts w:hint="eastAsia" w:ascii="黑体" w:hAnsi="宋体" w:eastAsia="黑体" w:cs="Arial"/>
          <w:bCs/>
          <w:color w:val="000000"/>
          <w:sz w:val="32"/>
          <w:szCs w:val="32"/>
          <w:lang w:val="en-US" w:eastAsia="zh-CN"/>
        </w:rPr>
      </w:pPr>
      <w:r>
        <w:rPr>
          <w:rFonts w:hint="eastAsia" w:ascii="黑体" w:hAnsi="宋体" w:eastAsia="黑体" w:cs="Arial"/>
          <w:bCs/>
          <w:color w:val="000000"/>
          <w:sz w:val="32"/>
          <w:szCs w:val="32"/>
        </w:rPr>
        <w:t>评价时间：</w:t>
      </w:r>
      <w:r>
        <w:rPr>
          <w:rFonts w:hint="eastAsia" w:ascii="黑体" w:hAnsi="宋体" w:eastAsia="黑体" w:cs="Arial"/>
          <w:bCs/>
          <w:color w:val="000000"/>
          <w:sz w:val="32"/>
          <w:szCs w:val="32"/>
          <w:u w:val="single"/>
          <w:lang w:val="en-US" w:eastAsia="zh-CN"/>
        </w:rPr>
        <w:t xml:space="preserve">    </w:t>
      </w:r>
      <w:r>
        <w:rPr>
          <w:rFonts w:hint="eastAsia" w:ascii="黑体" w:hAnsi="黑体" w:eastAsia="黑体" w:cs="黑体"/>
          <w:bCs/>
          <w:color w:val="000000"/>
          <w:sz w:val="32"/>
          <w:szCs w:val="32"/>
          <w:u w:val="single"/>
          <w:lang w:val="en-US" w:eastAsia="zh-CN"/>
        </w:rPr>
        <w:t>2021</w:t>
      </w:r>
      <w:r>
        <w:rPr>
          <w:rFonts w:hint="eastAsia" w:ascii="黑体" w:hAnsi="黑体" w:eastAsia="黑体" w:cs="黑体"/>
          <w:bCs/>
          <w:color w:val="000000"/>
          <w:sz w:val="32"/>
          <w:szCs w:val="32"/>
          <w:u w:val="single"/>
        </w:rPr>
        <w:t>年</w:t>
      </w:r>
      <w:r>
        <w:rPr>
          <w:rFonts w:hint="eastAsia" w:ascii="黑体" w:hAnsi="黑体" w:eastAsia="黑体" w:cs="黑体"/>
          <w:bCs/>
          <w:color w:val="000000"/>
          <w:sz w:val="32"/>
          <w:szCs w:val="32"/>
          <w:u w:val="single"/>
          <w:lang w:val="en-US" w:eastAsia="zh-CN"/>
        </w:rPr>
        <w:t>1</w:t>
      </w:r>
      <w:r>
        <w:rPr>
          <w:rFonts w:hint="eastAsia" w:ascii="黑体" w:hAnsi="黑体" w:eastAsia="黑体" w:cs="黑体"/>
          <w:bCs/>
          <w:color w:val="000000"/>
          <w:sz w:val="32"/>
          <w:szCs w:val="32"/>
          <w:u w:val="single"/>
        </w:rPr>
        <w:t>月</w:t>
      </w:r>
      <w:r>
        <w:rPr>
          <w:rFonts w:hint="eastAsia" w:ascii="黑体" w:hAnsi="黑体" w:eastAsia="黑体" w:cs="黑体"/>
          <w:bCs/>
          <w:color w:val="000000"/>
          <w:sz w:val="32"/>
          <w:szCs w:val="32"/>
          <w:u w:val="single"/>
          <w:lang w:val="en-US" w:eastAsia="zh-CN"/>
        </w:rPr>
        <w:t>1</w:t>
      </w:r>
      <w:r>
        <w:rPr>
          <w:rFonts w:hint="eastAsia" w:ascii="黑体" w:hAnsi="黑体" w:eastAsia="黑体" w:cs="黑体"/>
          <w:bCs/>
          <w:color w:val="000000"/>
          <w:sz w:val="32"/>
          <w:szCs w:val="32"/>
          <w:u w:val="single"/>
        </w:rPr>
        <w:t>日至</w:t>
      </w:r>
      <w:r>
        <w:rPr>
          <w:rFonts w:hint="eastAsia" w:ascii="黑体" w:hAnsi="黑体" w:eastAsia="黑体" w:cs="黑体"/>
          <w:bCs/>
          <w:color w:val="000000"/>
          <w:sz w:val="32"/>
          <w:szCs w:val="32"/>
          <w:u w:val="single"/>
          <w:lang w:val="en-US" w:eastAsia="zh-CN"/>
        </w:rPr>
        <w:t>2021</w:t>
      </w:r>
      <w:r>
        <w:rPr>
          <w:rFonts w:hint="eastAsia" w:ascii="黑体" w:hAnsi="黑体" w:eastAsia="黑体" w:cs="黑体"/>
          <w:bCs/>
          <w:color w:val="000000"/>
          <w:sz w:val="32"/>
          <w:szCs w:val="32"/>
          <w:u w:val="single"/>
        </w:rPr>
        <w:t>年</w:t>
      </w:r>
      <w:r>
        <w:rPr>
          <w:rFonts w:hint="eastAsia" w:ascii="黑体" w:hAnsi="黑体" w:eastAsia="黑体" w:cs="黑体"/>
          <w:bCs/>
          <w:color w:val="000000"/>
          <w:sz w:val="32"/>
          <w:szCs w:val="32"/>
          <w:u w:val="single"/>
          <w:lang w:val="en-US" w:eastAsia="zh-CN"/>
        </w:rPr>
        <w:t>12</w:t>
      </w:r>
      <w:r>
        <w:rPr>
          <w:rFonts w:hint="eastAsia" w:ascii="黑体" w:hAnsi="黑体" w:eastAsia="黑体" w:cs="黑体"/>
          <w:bCs/>
          <w:color w:val="000000"/>
          <w:sz w:val="32"/>
          <w:szCs w:val="32"/>
          <w:u w:val="single"/>
        </w:rPr>
        <w:t>月</w:t>
      </w:r>
      <w:r>
        <w:rPr>
          <w:rFonts w:hint="eastAsia" w:ascii="黑体" w:hAnsi="黑体" w:eastAsia="黑体" w:cs="黑体"/>
          <w:bCs/>
          <w:color w:val="000000"/>
          <w:sz w:val="32"/>
          <w:szCs w:val="32"/>
          <w:u w:val="single"/>
          <w:lang w:val="en-US" w:eastAsia="zh-CN"/>
        </w:rPr>
        <w:t>31</w:t>
      </w:r>
      <w:r>
        <w:rPr>
          <w:rFonts w:hint="eastAsia" w:ascii="黑体" w:hAnsi="黑体" w:eastAsia="黑体" w:cs="黑体"/>
          <w:bCs/>
          <w:color w:val="000000"/>
          <w:sz w:val="32"/>
          <w:szCs w:val="32"/>
          <w:u w:val="single"/>
        </w:rPr>
        <w:t>日</w:t>
      </w:r>
      <w:r>
        <w:rPr>
          <w:rFonts w:hint="eastAsia" w:ascii="黑体" w:hAnsi="黑体" w:eastAsia="黑体" w:cs="黑体"/>
          <w:bCs/>
          <w:color w:val="000000"/>
          <w:sz w:val="32"/>
          <w:szCs w:val="32"/>
          <w:u w:val="single"/>
          <w:lang w:val="en-US" w:eastAsia="zh-CN"/>
        </w:rPr>
        <w:t xml:space="preserve">    </w:t>
      </w:r>
    </w:p>
    <w:p>
      <w:pPr>
        <w:spacing w:line="600" w:lineRule="exact"/>
        <w:jc w:val="left"/>
        <w:rPr>
          <w:rFonts w:hint="eastAsia" w:ascii="黑体" w:hAnsi="宋体" w:eastAsia="黑体" w:cs="Arial"/>
          <w:bCs/>
          <w:color w:val="000000"/>
          <w:sz w:val="32"/>
          <w:szCs w:val="32"/>
        </w:rPr>
      </w:pPr>
    </w:p>
    <w:p>
      <w:pPr>
        <w:spacing w:line="600" w:lineRule="exact"/>
        <w:ind w:firstLine="800" w:firstLineChars="250"/>
        <w:jc w:val="left"/>
        <w:rPr>
          <w:rFonts w:hint="default" w:ascii="黑体" w:hAnsi="宋体" w:eastAsia="黑体" w:cs="Arial"/>
          <w:bCs/>
          <w:color w:val="000000"/>
          <w:sz w:val="32"/>
          <w:szCs w:val="32"/>
          <w:lang w:val="en-US" w:eastAsia="zh-CN"/>
        </w:rPr>
      </w:pPr>
      <w:r>
        <w:rPr>
          <w:rFonts w:hint="eastAsia" w:ascii="黑体" w:hAnsi="宋体" w:eastAsia="黑体" w:cs="Arial"/>
          <w:bCs/>
          <w:color w:val="000000"/>
          <w:sz w:val="32"/>
          <w:szCs w:val="32"/>
        </w:rPr>
        <w:t>评价机构：</w:t>
      </w:r>
      <w:r>
        <w:rPr>
          <w:rFonts w:hint="eastAsia" w:ascii="黑体" w:hAnsi="黑体" w:eastAsia="黑体" w:cs="黑体"/>
          <w:bCs/>
          <w:color w:val="000000"/>
          <w:sz w:val="32"/>
          <w:szCs w:val="32"/>
          <w:u w:val="single"/>
          <w:lang w:val="en-US" w:eastAsia="zh-CN"/>
        </w:rPr>
        <w:t xml:space="preserve"> 南昌市文化广电新闻出版旅游局绩效评价小组 </w:t>
      </w:r>
    </w:p>
    <w:p>
      <w:pPr>
        <w:jc w:val="center"/>
        <w:rPr>
          <w:rFonts w:hint="eastAsia" w:ascii="黑体" w:hAnsi="宋体" w:eastAsia="黑体" w:cs="Arial"/>
          <w:bCs/>
          <w:color w:val="000000"/>
          <w:sz w:val="32"/>
          <w:szCs w:val="32"/>
        </w:rPr>
      </w:pPr>
    </w:p>
    <w:p>
      <w:pPr>
        <w:jc w:val="center"/>
        <w:rPr>
          <w:rFonts w:hint="eastAsia" w:ascii="黑体" w:hAnsi="宋体" w:eastAsia="黑体" w:cs="Arial"/>
          <w:bCs/>
          <w:color w:val="000000"/>
          <w:sz w:val="32"/>
          <w:szCs w:val="32"/>
        </w:rPr>
      </w:pPr>
    </w:p>
    <w:p>
      <w:pPr>
        <w:jc w:val="center"/>
        <w:rPr>
          <w:rFonts w:hint="eastAsia" w:ascii="黑体" w:hAnsi="宋体" w:eastAsia="黑体" w:cs="Arial"/>
          <w:bCs/>
          <w:color w:val="000000"/>
          <w:sz w:val="32"/>
          <w:szCs w:val="32"/>
        </w:rPr>
      </w:pPr>
      <w:r>
        <w:rPr>
          <w:rFonts w:hint="eastAsia" w:ascii="黑体" w:hAnsi="宋体" w:eastAsia="黑体" w:cs="Arial"/>
          <w:bCs/>
          <w:color w:val="000000"/>
          <w:sz w:val="32"/>
          <w:szCs w:val="32"/>
          <w:lang w:val="en-US" w:eastAsia="zh-CN"/>
        </w:rPr>
        <w:t>2022</w:t>
      </w:r>
      <w:r>
        <w:rPr>
          <w:rFonts w:hint="eastAsia" w:ascii="黑体" w:hAnsi="宋体" w:eastAsia="黑体" w:cs="Arial"/>
          <w:bCs/>
          <w:color w:val="000000"/>
          <w:sz w:val="32"/>
          <w:szCs w:val="32"/>
        </w:rPr>
        <w:t>年</w:t>
      </w:r>
      <w:r>
        <w:rPr>
          <w:rFonts w:hint="eastAsia" w:ascii="黑体" w:hAnsi="宋体" w:eastAsia="黑体" w:cs="Arial"/>
          <w:bCs/>
          <w:color w:val="000000"/>
          <w:sz w:val="32"/>
          <w:szCs w:val="32"/>
          <w:lang w:val="en-US" w:eastAsia="zh-CN"/>
        </w:rPr>
        <w:t>06</w:t>
      </w:r>
      <w:r>
        <w:rPr>
          <w:rFonts w:hint="eastAsia" w:ascii="黑体" w:hAnsi="宋体" w:eastAsia="黑体" w:cs="Arial"/>
          <w:bCs/>
          <w:color w:val="000000"/>
          <w:sz w:val="32"/>
          <w:szCs w:val="32"/>
        </w:rPr>
        <w:t>月</w:t>
      </w:r>
      <w:r>
        <w:rPr>
          <w:rFonts w:hint="eastAsia" w:ascii="黑体" w:hAnsi="宋体" w:eastAsia="黑体" w:cs="Arial"/>
          <w:bCs/>
          <w:color w:val="000000"/>
          <w:sz w:val="32"/>
          <w:szCs w:val="32"/>
          <w:lang w:val="en-US" w:eastAsia="zh-CN"/>
        </w:rPr>
        <w:t>03</w:t>
      </w:r>
      <w:r>
        <w:rPr>
          <w:rFonts w:hint="eastAsia" w:ascii="黑体" w:hAnsi="宋体" w:eastAsia="黑体" w:cs="Arial"/>
          <w:bCs/>
          <w:color w:val="000000"/>
          <w:sz w:val="32"/>
          <w:szCs w:val="32"/>
        </w:rPr>
        <w:t>日</w:t>
      </w:r>
    </w:p>
    <w:p>
      <w:pPr>
        <w:jc w:val="center"/>
        <w:rPr>
          <w:rFonts w:hint="eastAsia" w:ascii="黑体" w:hAnsi="黑体" w:eastAsia="黑体" w:cs="黑体"/>
          <w:bCs/>
          <w:color w:val="000000"/>
          <w:sz w:val="32"/>
          <w:szCs w:val="32"/>
        </w:rPr>
      </w:pPr>
    </w:p>
    <w:p>
      <w:pPr>
        <w:jc w:val="center"/>
        <w:rPr>
          <w:rFonts w:hint="eastAsia" w:ascii="黑体" w:hAnsi="黑体" w:eastAsia="黑体" w:cs="黑体"/>
          <w:bCs/>
          <w:color w:val="000000"/>
          <w:sz w:val="32"/>
          <w:szCs w:val="32"/>
        </w:rPr>
      </w:pPr>
    </w:p>
    <w:p>
      <w:pPr>
        <w:pStyle w:val="8"/>
        <w:rPr>
          <w:rFonts w:hint="eastAsia" w:ascii="黑体" w:hAnsi="黑体" w:eastAsia="黑体" w:cs="黑体"/>
          <w:bCs/>
          <w:color w:val="000000"/>
          <w:sz w:val="32"/>
          <w:szCs w:val="32"/>
        </w:rPr>
      </w:pPr>
    </w:p>
    <w:p>
      <w:pPr>
        <w:pStyle w:val="8"/>
        <w:rPr>
          <w:rFonts w:hint="eastAsia" w:ascii="黑体" w:hAnsi="黑体" w:eastAsia="黑体" w:cs="黑体"/>
          <w:bCs/>
          <w:color w:val="000000"/>
          <w:sz w:val="32"/>
          <w:szCs w:val="32"/>
        </w:rPr>
      </w:pPr>
    </w:p>
    <w:p>
      <w:pPr>
        <w:pStyle w:val="8"/>
        <w:rPr>
          <w:rFonts w:hint="eastAsia" w:ascii="黑体" w:hAnsi="黑体" w:eastAsia="黑体" w:cs="黑体"/>
          <w:bCs/>
          <w:color w:val="000000"/>
          <w:sz w:val="32"/>
          <w:szCs w:val="32"/>
        </w:rPr>
      </w:pPr>
    </w:p>
    <w:p>
      <w:pPr>
        <w:jc w:val="center"/>
        <w:rPr>
          <w:rFonts w:hint="eastAsia" w:ascii="黑体" w:hAnsi="黑体" w:eastAsia="黑体" w:cs="黑体"/>
          <w:bCs/>
          <w:color w:val="000000"/>
          <w:sz w:val="32"/>
          <w:szCs w:val="32"/>
          <w:lang w:eastAsia="zh-CN"/>
        </w:rPr>
      </w:pPr>
      <w:r>
        <w:rPr>
          <w:rFonts w:hint="eastAsia" w:ascii="黑体" w:hAnsi="黑体" w:eastAsia="黑体" w:cs="黑体"/>
          <w:bCs/>
          <w:color w:val="000000"/>
          <w:sz w:val="32"/>
          <w:szCs w:val="32"/>
          <w:lang w:eastAsia="zh-CN"/>
        </w:rPr>
        <w:t>南昌市文化广电新闻出版旅游局</w:t>
      </w:r>
    </w:p>
    <w:p>
      <w:pPr>
        <w:jc w:val="center"/>
        <w:rPr>
          <w:rFonts w:hint="eastAsia" w:ascii="黑体" w:hAnsi="黑体" w:eastAsia="黑体" w:cs="黑体"/>
          <w:bCs/>
          <w:color w:val="000000"/>
          <w:sz w:val="32"/>
          <w:szCs w:val="32"/>
        </w:rPr>
      </w:pPr>
      <w:r>
        <w:rPr>
          <w:rFonts w:hint="eastAsia" w:ascii="黑体" w:hAnsi="黑体" w:eastAsia="黑体" w:cs="黑体"/>
          <w:bCs/>
          <w:color w:val="000000"/>
          <w:sz w:val="32"/>
          <w:szCs w:val="32"/>
          <w:lang w:eastAsia="zh-CN"/>
        </w:rPr>
        <w:t>文化旅游发展专项</w:t>
      </w:r>
      <w:r>
        <w:rPr>
          <w:rFonts w:hint="eastAsia" w:ascii="黑体" w:hAnsi="黑体" w:eastAsia="黑体" w:cs="黑体"/>
          <w:bCs/>
          <w:color w:val="000000"/>
          <w:sz w:val="32"/>
          <w:szCs w:val="32"/>
          <w:lang w:val="en-US" w:eastAsia="zh-CN"/>
        </w:rPr>
        <w:t>支出</w:t>
      </w:r>
      <w:r>
        <w:rPr>
          <w:rFonts w:hint="eastAsia" w:ascii="黑体" w:hAnsi="黑体" w:eastAsia="黑体" w:cs="黑体"/>
          <w:bCs/>
          <w:color w:val="000000"/>
          <w:sz w:val="32"/>
          <w:szCs w:val="32"/>
        </w:rPr>
        <w:t>绩效评价报告</w:t>
      </w:r>
    </w:p>
    <w:p>
      <w:pPr>
        <w:jc w:val="center"/>
        <w:rPr>
          <w:rFonts w:hint="eastAsia" w:ascii="黑体" w:hAnsi="黑体" w:eastAsia="黑体" w:cs="黑体"/>
          <w:bCs/>
          <w:color w:val="FF0000"/>
          <w:sz w:val="32"/>
          <w:szCs w:val="32"/>
        </w:rPr>
      </w:pPr>
    </w:p>
    <w:p>
      <w:pPr>
        <w:keepNext w:val="0"/>
        <w:keepLines w:val="0"/>
        <w:widowControl/>
        <w:suppressLineNumbers w:val="0"/>
        <w:ind w:firstLine="640" w:firstLineChars="200"/>
        <w:jc w:val="left"/>
        <w:rPr>
          <w:rFonts w:hint="eastAsia" w:ascii="仿宋_GB2312" w:hAnsi="宋体" w:eastAsia="仿宋_GB2312" w:cs="仿宋_GB2312"/>
          <w:color w:val="000000"/>
          <w:sz w:val="32"/>
          <w:szCs w:val="32"/>
          <w:lang w:val="en-US" w:eastAsia="zh-CN"/>
        </w:rPr>
      </w:pPr>
      <w:r>
        <w:rPr>
          <w:rFonts w:hint="eastAsia" w:ascii="仿宋_GB2312" w:hAnsi="宋体" w:eastAsia="仿宋_GB2312" w:cs="仿宋_GB2312"/>
          <w:color w:val="000000"/>
          <w:sz w:val="32"/>
          <w:szCs w:val="32"/>
          <w:lang w:val="en-US" w:eastAsia="zh-CN"/>
        </w:rPr>
        <w:t>根据</w:t>
      </w:r>
      <w:r>
        <w:rPr>
          <w:rFonts w:hint="eastAsia" w:ascii="仿宋_GB2312" w:hAnsi="宋体" w:eastAsia="仿宋_GB2312" w:cs="仿宋_GB2312"/>
          <w:color w:val="000000"/>
          <w:sz w:val="32"/>
          <w:szCs w:val="32"/>
        </w:rPr>
        <w:t>《中共南昌市委南昌市人民政府关于全面实施预算绩效管理的实施意见》（洪发〔2019〕13号）及《南昌市财政项目支出绩效评价管理办法》（洪财办〔</w:t>
      </w:r>
      <w:r>
        <w:rPr>
          <w:rFonts w:hint="eastAsia" w:ascii="仿宋_GB2312" w:hAnsi="宋体" w:eastAsia="仿宋_GB2312" w:cs="仿宋_GB2312"/>
          <w:color w:val="000000"/>
          <w:sz w:val="32"/>
          <w:szCs w:val="32"/>
          <w:lang w:eastAsia="zh-CN"/>
        </w:rPr>
        <w:t>2021</w:t>
      </w:r>
      <w:r>
        <w:rPr>
          <w:rFonts w:hint="eastAsia" w:ascii="仿宋_GB2312" w:hAnsi="宋体" w:eastAsia="仿宋_GB2312" w:cs="仿宋_GB2312"/>
          <w:color w:val="000000"/>
          <w:sz w:val="32"/>
          <w:szCs w:val="32"/>
        </w:rPr>
        <w:t>〕44号）精神</w:t>
      </w:r>
      <w:r>
        <w:rPr>
          <w:rFonts w:hint="eastAsia" w:ascii="仿宋_GB2312" w:hAnsi="宋体" w:eastAsia="仿宋_GB2312" w:cs="仿宋_GB2312"/>
          <w:color w:val="000000"/>
          <w:sz w:val="32"/>
          <w:szCs w:val="32"/>
          <w:lang w:val="en-US" w:eastAsia="zh-CN"/>
        </w:rPr>
        <w:t>，贯彻落实《</w:t>
      </w:r>
      <w:r>
        <w:rPr>
          <w:rFonts w:hint="eastAsia" w:ascii="仿宋_GB2312" w:hAnsi="宋体" w:eastAsia="仿宋_GB2312" w:cs="仿宋_GB2312"/>
          <w:color w:val="000000"/>
          <w:sz w:val="32"/>
          <w:szCs w:val="32"/>
        </w:rPr>
        <w:t>南昌市财政局关于开展2021年度单位自评及部门评价工作的通知</w:t>
      </w:r>
      <w:r>
        <w:rPr>
          <w:rFonts w:hint="eastAsia" w:ascii="仿宋_GB2312" w:hAnsi="宋体" w:eastAsia="仿宋_GB2312" w:cs="仿宋_GB2312"/>
          <w:color w:val="000000"/>
          <w:sz w:val="32"/>
          <w:szCs w:val="32"/>
          <w:lang w:val="en-US" w:eastAsia="zh-CN"/>
        </w:rPr>
        <w:t>》（洪财绩</w:t>
      </w:r>
      <w:r>
        <w:rPr>
          <w:rFonts w:hint="eastAsia" w:ascii="仿宋_GB2312" w:hAnsi="宋体" w:eastAsia="仿宋_GB2312" w:cs="仿宋_GB2312"/>
          <w:color w:val="000000"/>
          <w:sz w:val="32"/>
          <w:szCs w:val="32"/>
        </w:rPr>
        <w:t>〔202</w:t>
      </w:r>
      <w:r>
        <w:rPr>
          <w:rFonts w:hint="eastAsia" w:ascii="仿宋_GB2312" w:hAnsi="宋体" w:eastAsia="仿宋_GB2312" w:cs="仿宋_GB2312"/>
          <w:color w:val="000000"/>
          <w:sz w:val="32"/>
          <w:szCs w:val="32"/>
          <w:lang w:val="en-US" w:eastAsia="zh-CN"/>
        </w:rPr>
        <w:t>2</w:t>
      </w:r>
      <w:r>
        <w:rPr>
          <w:rFonts w:hint="eastAsia" w:ascii="仿宋_GB2312" w:hAnsi="宋体" w:eastAsia="仿宋_GB2312" w:cs="仿宋_GB2312"/>
          <w:color w:val="000000"/>
          <w:sz w:val="32"/>
          <w:szCs w:val="32"/>
        </w:rPr>
        <w:t>〕</w:t>
      </w:r>
      <w:r>
        <w:rPr>
          <w:rFonts w:hint="eastAsia" w:ascii="仿宋_GB2312" w:hAnsi="宋体" w:eastAsia="仿宋_GB2312" w:cs="仿宋_GB2312"/>
          <w:color w:val="000000"/>
          <w:sz w:val="32"/>
          <w:szCs w:val="32"/>
          <w:lang w:val="en-US" w:eastAsia="zh-CN"/>
        </w:rPr>
        <w:t>1号）文件，南昌市文化广电新闻出版旅游局开展了文化旅游发展专项资金项目支出绩效评价工作，现报告如下：</w:t>
      </w:r>
    </w:p>
    <w:p>
      <w:pPr>
        <w:keepNext w:val="0"/>
        <w:keepLines w:val="0"/>
        <w:pageBreakBefore w:val="0"/>
        <w:widowControl w:val="0"/>
        <w:kinsoku/>
        <w:wordWrap/>
        <w:overflowPunct/>
        <w:topLinePunct w:val="0"/>
        <w:autoSpaceDE/>
        <w:autoSpaceDN/>
        <w:bidi w:val="0"/>
        <w:spacing w:line="600" w:lineRule="exact"/>
        <w:ind w:firstLine="560" w:firstLineChars="200"/>
        <w:textAlignment w:val="auto"/>
        <w:rPr>
          <w:rFonts w:hint="eastAsia" w:ascii="黑体" w:hAnsi="黑体" w:eastAsia="黑体"/>
          <w:sz w:val="28"/>
          <w:szCs w:val="28"/>
        </w:rPr>
      </w:pPr>
      <w:r>
        <w:rPr>
          <w:rFonts w:hint="eastAsia" w:ascii="黑体" w:hAnsi="黑体" w:eastAsia="黑体"/>
          <w:sz w:val="28"/>
          <w:szCs w:val="28"/>
        </w:rPr>
        <w:t>一、基本情况</w:t>
      </w:r>
    </w:p>
    <w:p>
      <w:pPr>
        <w:keepNext w:val="0"/>
        <w:keepLines w:val="0"/>
        <w:pageBreakBefore w:val="0"/>
        <w:widowControl w:val="0"/>
        <w:kinsoku/>
        <w:wordWrap/>
        <w:overflowPunct/>
        <w:topLinePunct w:val="0"/>
        <w:autoSpaceDE/>
        <w:autoSpaceDN/>
        <w:bidi w:val="0"/>
        <w:spacing w:line="600" w:lineRule="exact"/>
        <w:ind w:firstLine="562" w:firstLineChars="200"/>
        <w:textAlignment w:val="auto"/>
        <w:outlineLvl w:val="0"/>
        <w:rPr>
          <w:rFonts w:hint="eastAsia" w:ascii="楷体_GB2312" w:hAnsi="Calibri" w:eastAsia="楷体_GB2312" w:cs="Times New Roman"/>
          <w:b/>
          <w:color w:val="000000"/>
          <w:sz w:val="28"/>
          <w:szCs w:val="28"/>
        </w:rPr>
      </w:pPr>
      <w:r>
        <w:rPr>
          <w:rFonts w:hint="eastAsia" w:ascii="楷体_GB2312" w:hAnsi="Calibri" w:eastAsia="楷体_GB2312" w:cs="Times New Roman"/>
          <w:b/>
          <w:color w:val="000000"/>
          <w:sz w:val="28"/>
          <w:szCs w:val="28"/>
        </w:rPr>
        <w:t>（一）项目概况</w:t>
      </w:r>
    </w:p>
    <w:p>
      <w:pPr>
        <w:keepNext w:val="0"/>
        <w:keepLines w:val="0"/>
        <w:pageBreakBefore w:val="0"/>
        <w:widowControl w:val="0"/>
        <w:kinsoku/>
        <w:wordWrap/>
        <w:overflowPunct/>
        <w:topLinePunct w:val="0"/>
        <w:autoSpaceDE/>
        <w:autoSpaceDN/>
        <w:bidi w:val="0"/>
        <w:spacing w:line="600" w:lineRule="exact"/>
        <w:ind w:firstLine="562" w:firstLineChars="200"/>
        <w:textAlignment w:val="auto"/>
        <w:outlineLvl w:val="0"/>
        <w:rPr>
          <w:rFonts w:hint="eastAsia" w:ascii="楷体_GB2312" w:hAnsi="Calibri" w:eastAsia="楷体_GB2312" w:cs="Times New Roman"/>
          <w:b/>
          <w:color w:val="000000"/>
          <w:sz w:val="28"/>
          <w:szCs w:val="28"/>
        </w:rPr>
      </w:pPr>
      <w:r>
        <w:rPr>
          <w:rFonts w:hint="eastAsia" w:ascii="楷体_GB2312" w:hAnsi="Calibri" w:eastAsia="楷体_GB2312" w:cs="Times New Roman"/>
          <w:b/>
          <w:color w:val="000000"/>
          <w:sz w:val="28"/>
          <w:szCs w:val="28"/>
        </w:rPr>
        <w:t>1、项目背景</w:t>
      </w:r>
    </w:p>
    <w:p>
      <w:pPr>
        <w:keepNext w:val="0"/>
        <w:keepLines w:val="0"/>
        <w:widowControl/>
        <w:suppressLineNumbers w:val="0"/>
        <w:ind w:firstLine="640" w:firstLineChars="200"/>
        <w:jc w:val="left"/>
        <w:rPr>
          <w:rFonts w:hint="eastAsia" w:ascii="仿宋_GB2312" w:hAnsi="宋体" w:eastAsia="仿宋_GB2312" w:cs="仿宋_GB2312"/>
          <w:color w:val="000000"/>
          <w:sz w:val="32"/>
          <w:szCs w:val="32"/>
          <w:lang w:val="en-US" w:eastAsia="zh-CN"/>
        </w:rPr>
      </w:pPr>
      <w:r>
        <w:rPr>
          <w:rFonts w:hint="eastAsia" w:ascii="仿宋_GB2312" w:hAnsi="宋体" w:eastAsia="仿宋_GB2312" w:cs="仿宋_GB2312"/>
          <w:color w:val="000000"/>
          <w:sz w:val="32"/>
          <w:szCs w:val="32"/>
          <w:lang w:val="en-US" w:eastAsia="zh-CN"/>
        </w:rPr>
        <w:t>为加大对旅游景区（点）项目建设的扶持，兑现旅游产业品牌、旅游发展绩效的奖励，全面开展旅游宣传促销等旅游相关工作；全面实施文化大市战略，积极推动文化强市建设，进一步提高政府为全社会提供公共文化服务水平，实现和保障人民群众基本文化权益。严格按照《南昌市文化旅游发展专项资金管理办法》（洪财规〔 2021〕3号）文件开展扶持文化公益事业和旅游产业发展专项支付工作。</w:t>
      </w:r>
    </w:p>
    <w:p>
      <w:pPr>
        <w:keepNext w:val="0"/>
        <w:keepLines w:val="0"/>
        <w:pageBreakBefore w:val="0"/>
        <w:widowControl w:val="0"/>
        <w:kinsoku/>
        <w:wordWrap/>
        <w:overflowPunct/>
        <w:topLinePunct w:val="0"/>
        <w:autoSpaceDE/>
        <w:autoSpaceDN/>
        <w:bidi w:val="0"/>
        <w:spacing w:line="600" w:lineRule="exact"/>
        <w:ind w:firstLine="562" w:firstLineChars="200"/>
        <w:textAlignment w:val="auto"/>
        <w:outlineLvl w:val="0"/>
        <w:rPr>
          <w:rFonts w:hint="eastAsia" w:ascii="楷体_GB2312" w:hAnsi="Calibri" w:eastAsia="楷体_GB2312" w:cs="Times New Roman"/>
          <w:b/>
          <w:color w:val="000000"/>
          <w:sz w:val="28"/>
          <w:szCs w:val="28"/>
        </w:rPr>
      </w:pPr>
      <w:r>
        <w:rPr>
          <w:rFonts w:hint="eastAsia" w:ascii="楷体_GB2312" w:hAnsi="Calibri" w:eastAsia="楷体_GB2312" w:cs="Times New Roman"/>
          <w:b/>
          <w:color w:val="000000"/>
          <w:sz w:val="28"/>
          <w:szCs w:val="28"/>
          <w:lang w:val="en-US" w:eastAsia="zh-CN"/>
        </w:rPr>
        <w:t>2、</w:t>
      </w:r>
      <w:r>
        <w:rPr>
          <w:rFonts w:hint="eastAsia" w:ascii="楷体_GB2312" w:hAnsi="Calibri" w:eastAsia="楷体_GB2312" w:cs="Times New Roman"/>
          <w:b/>
          <w:color w:val="000000"/>
          <w:sz w:val="28"/>
          <w:szCs w:val="28"/>
        </w:rPr>
        <w:t>项目主要内容及实施情况</w:t>
      </w:r>
    </w:p>
    <w:p>
      <w:pPr>
        <w:keepNext w:val="0"/>
        <w:keepLines w:val="0"/>
        <w:widowControl/>
        <w:suppressLineNumbers w:val="0"/>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主要内容</w:t>
      </w:r>
      <w:r>
        <w:rPr>
          <w:rFonts w:hint="eastAsia" w:ascii="仿宋_GB2312" w:hAnsi="仿宋" w:eastAsia="仿宋_GB2312" w:cs="仿宋"/>
          <w:sz w:val="32"/>
          <w:szCs w:val="32"/>
          <w:lang w:eastAsia="zh-CN"/>
        </w:rPr>
        <w:t>：</w:t>
      </w:r>
      <w:r>
        <w:rPr>
          <w:rFonts w:hint="eastAsia" w:ascii="仿宋_GB2312" w:hAnsi="宋体" w:eastAsia="仿宋_GB2312" w:cs="仿宋_GB2312"/>
          <w:color w:val="000000"/>
          <w:sz w:val="32"/>
          <w:szCs w:val="32"/>
          <w:lang w:val="en-US" w:eastAsia="zh-CN"/>
        </w:rPr>
        <w:t>完善文化旅游公共服务设施，丰富人民群众物质文化生活，推进“文化强市”“旅游强市”建设，打造“宜居宜业、宜学宜游的现代都市”，推进文化旅游高质量发展，提高人民群众生活的幸福感和满意度。</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Times New Roman"/>
          <w:sz w:val="32"/>
          <w:szCs w:val="32"/>
          <w:lang w:val="en-US" w:eastAsia="zh-CN"/>
        </w:rPr>
      </w:pPr>
      <w:r>
        <w:rPr>
          <w:rFonts w:hint="eastAsia" w:ascii="仿宋" w:hAnsi="仿宋" w:eastAsia="仿宋" w:cs="Times New Roman"/>
          <w:sz w:val="32"/>
          <w:szCs w:val="32"/>
        </w:rPr>
        <w:t>实施情况：</w:t>
      </w:r>
      <w:r>
        <w:rPr>
          <w:rFonts w:hint="eastAsia" w:ascii="仿宋" w:hAnsi="仿宋" w:eastAsia="仿宋" w:cs="Times New Roman"/>
          <w:sz w:val="32"/>
          <w:szCs w:val="32"/>
          <w:lang w:val="en-US" w:eastAsia="zh-CN"/>
        </w:rPr>
        <w:t>1、为庆祝“建党百年华诞”为主题，开展了一系列建党百年献礼活动，唱响党的颂歌，献礼党的华诞；</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2、根据全市“十四五”规划工作会议精神，充分发扬民主、开门问策、集思广益，先后召开规划评审会议十余次（不含赴县区及社会调研），向社会公开收集意见和建议753条，修改规划文本共计600余科，覆盖各方面意见和建议456条，准确把握文旅融合背景下的新机遇、新挑战、新任务、新目标；</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3、主题创作成果丰硕，创作采茶戏剧本，组织画家开展采风活动，举办各类会展，举办“脱贫感党恩 奋进新征程——送戏下乡文艺汇演”，深入乡村巡回慰问演出10场，受到群众的热烈欢迎，促进了南昌采茶戏的传承发展；</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4、公共文化服务设施开放，组织开展了“让书香飘满洪城”第二届全城共读活动、第十一届“读好书”活动等全民阅读活动303场次，服务市民读者逾121万人次；</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5、继续加强文物保护利用工作，促进博物馆事业高质量发展，进一步完善非遗代表性名录体系；</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6、出台若干促进旅游产业发展的政策，计划引进重点文旅头部企业19家，助力我市文旅企业发展；</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7、在原有“南昌旅游一卡通”旅游景区对持卡人免费的基础上，采取政府补贴的形式，增加演艺、影院、书店等文化企业对持卡人免费或优惠的政策，使旅游一卡通增加文化服务内容，扩大消费覆盖面，推动文旅市场消费复苏；</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8、加强红色旅游发展，打造红色旅游精品线路，我市申报“英雄城·红色城”精品线路，开展“传承红色基因 培育时代新人”红色旅游进校园系列活动、“红色讲解员讲党史”宣讲活动等；</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9、加快数字文旅建设，通过大数据技术，实时采集数据，完成南昌智慧文旅指挥调度监测系统建设；</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10、在南昌电视台、南昌日报等主要媒体设立“千年豫章郡 天下英雄城”文旅专版（专栏），抢占微信公众号、抖音快手等头部新媒体平台，以创意短视频的形式，打造南昌文旅“新热点”“新看点”；</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仿宋" w:hAnsi="仿宋" w:eastAsia="仿宋" w:cs="Times New Roman"/>
          <w:sz w:val="32"/>
          <w:szCs w:val="32"/>
          <w:lang w:val="en-US" w:eastAsia="zh-CN"/>
        </w:rPr>
      </w:pPr>
      <w:r>
        <w:rPr>
          <w:rFonts w:hint="eastAsia" w:ascii="仿宋" w:hAnsi="仿宋" w:eastAsia="仿宋" w:cs="Times New Roman"/>
          <w:sz w:val="32"/>
          <w:szCs w:val="32"/>
          <w:lang w:val="en-US" w:eastAsia="zh-CN"/>
        </w:rPr>
        <w:t>11、深入开展文化和旅游市场专项执法检查整治行动，保障文旅市场环境的平稳有序</w:t>
      </w:r>
      <w:r>
        <w:rPr>
          <w:rFonts w:hint="default" w:ascii="仿宋" w:hAnsi="仿宋"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实施期限：20</w:t>
      </w:r>
      <w:r>
        <w:rPr>
          <w:rFonts w:hint="eastAsia" w:ascii="Times New Roman" w:hAnsi="Times New Roman" w:eastAsia="仿宋_GB2312" w:cs="Times New Roman"/>
          <w:kern w:val="0"/>
          <w:sz w:val="32"/>
          <w:szCs w:val="32"/>
          <w:lang w:val="en-US" w:eastAsia="zh-CN"/>
        </w:rPr>
        <w:t>21</w:t>
      </w:r>
      <w:r>
        <w:rPr>
          <w:rFonts w:hint="eastAsia" w:ascii="Times New Roman" w:hAnsi="Times New Roman" w:eastAsia="仿宋_GB2312" w:cs="Times New Roman"/>
          <w:kern w:val="0"/>
          <w:sz w:val="32"/>
          <w:szCs w:val="32"/>
        </w:rPr>
        <w:t>年全年度</w:t>
      </w:r>
    </w:p>
    <w:p>
      <w:pPr>
        <w:keepNext w:val="0"/>
        <w:keepLines w:val="0"/>
        <w:pageBreakBefore w:val="0"/>
        <w:widowControl w:val="0"/>
        <w:kinsoku/>
        <w:wordWrap/>
        <w:overflowPunct/>
        <w:topLinePunct w:val="0"/>
        <w:autoSpaceDE/>
        <w:autoSpaceDN/>
        <w:bidi w:val="0"/>
        <w:spacing w:line="600" w:lineRule="exact"/>
        <w:ind w:firstLine="562" w:firstLineChars="200"/>
        <w:textAlignment w:val="auto"/>
        <w:outlineLvl w:val="0"/>
        <w:rPr>
          <w:rFonts w:hint="eastAsia" w:ascii="楷体_GB2312" w:hAnsi="Calibri" w:eastAsia="楷体_GB2312" w:cs="Times New Roman"/>
          <w:b/>
          <w:color w:val="000000"/>
          <w:sz w:val="28"/>
          <w:szCs w:val="28"/>
        </w:rPr>
      </w:pPr>
      <w:r>
        <w:rPr>
          <w:rFonts w:hint="eastAsia" w:ascii="楷体_GB2312" w:hAnsi="Calibri" w:eastAsia="楷体_GB2312" w:cs="Times New Roman"/>
          <w:b/>
          <w:color w:val="000000"/>
          <w:sz w:val="28"/>
          <w:szCs w:val="28"/>
          <w:lang w:val="en-US" w:eastAsia="zh-CN"/>
        </w:rPr>
        <w:t>3、</w:t>
      </w:r>
      <w:r>
        <w:rPr>
          <w:rFonts w:hint="eastAsia" w:ascii="楷体_GB2312" w:hAnsi="Calibri" w:eastAsia="楷体_GB2312" w:cs="Times New Roman"/>
          <w:b/>
          <w:color w:val="000000"/>
          <w:sz w:val="28"/>
          <w:szCs w:val="28"/>
        </w:rPr>
        <w:t>资金投入和使用情况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 w:hAnsi="仿宋" w:eastAsia="仿宋"/>
          <w:sz w:val="32"/>
          <w:szCs w:val="32"/>
          <w:lang w:val="en-US" w:eastAsia="zh-CN"/>
        </w:rPr>
        <w:t>南昌市文化广电新闻出版旅游局</w:t>
      </w:r>
      <w:r>
        <w:rPr>
          <w:rFonts w:hint="eastAsia" w:ascii="仿宋" w:hAnsi="仿宋" w:eastAsia="仿宋" w:cs="Times New Roman"/>
          <w:sz w:val="32"/>
          <w:szCs w:val="32"/>
          <w:lang w:eastAsia="zh-CN"/>
        </w:rPr>
        <w:t>文化旅游产业发展专项</w:t>
      </w:r>
      <w:r>
        <w:rPr>
          <w:rFonts w:hint="eastAsia" w:ascii="仿宋" w:hAnsi="仿宋" w:eastAsia="仿宋" w:cs="Times New Roman"/>
          <w:sz w:val="32"/>
          <w:szCs w:val="32"/>
        </w:rPr>
        <w:t>项</w:t>
      </w:r>
      <w:r>
        <w:rPr>
          <w:rFonts w:hint="eastAsia" w:ascii="仿宋" w:hAnsi="仿宋" w:eastAsia="仿宋"/>
          <w:sz w:val="32"/>
          <w:szCs w:val="32"/>
        </w:rPr>
        <w:t>目预算资金为</w:t>
      </w:r>
      <w:r>
        <w:rPr>
          <w:rFonts w:hint="eastAsia" w:ascii="仿宋" w:hAnsi="仿宋" w:eastAsia="仿宋"/>
          <w:sz w:val="32"/>
          <w:szCs w:val="32"/>
          <w:lang w:val="en-US" w:eastAsia="zh-CN"/>
        </w:rPr>
        <w:t>8800</w:t>
      </w:r>
      <w:r>
        <w:rPr>
          <w:rFonts w:hint="eastAsia" w:ascii="仿宋" w:hAnsi="仿宋" w:eastAsia="仿宋"/>
          <w:sz w:val="32"/>
          <w:szCs w:val="32"/>
        </w:rPr>
        <w:t>万元</w:t>
      </w:r>
      <w:r>
        <w:rPr>
          <w:rFonts w:hint="eastAsia" w:ascii="仿宋" w:hAnsi="仿宋" w:eastAsia="仿宋" w:cs="Times New Roman"/>
          <w:sz w:val="32"/>
          <w:szCs w:val="32"/>
          <w:lang w:val="en-US" w:eastAsia="zh-CN"/>
        </w:rPr>
        <w:t>，</w:t>
      </w:r>
      <w:r>
        <w:rPr>
          <w:rFonts w:hint="eastAsia" w:ascii="仿宋" w:hAnsi="仿宋" w:eastAsia="仿宋" w:cs="Times New Roman"/>
          <w:sz w:val="32"/>
          <w:szCs w:val="32"/>
        </w:rPr>
        <w:t>截</w:t>
      </w:r>
      <w:r>
        <w:rPr>
          <w:rFonts w:hint="eastAsia" w:ascii="仿宋" w:hAnsi="仿宋" w:eastAsia="仿宋"/>
          <w:sz w:val="32"/>
          <w:szCs w:val="32"/>
        </w:rPr>
        <w:t>止20</w:t>
      </w:r>
      <w:r>
        <w:rPr>
          <w:rFonts w:hint="eastAsia" w:ascii="仿宋" w:hAnsi="仿宋" w:eastAsia="仿宋"/>
          <w:sz w:val="32"/>
          <w:szCs w:val="32"/>
          <w:lang w:val="en-US" w:eastAsia="zh-CN"/>
        </w:rPr>
        <w:t>21</w:t>
      </w:r>
      <w:r>
        <w:rPr>
          <w:rFonts w:hint="eastAsia" w:ascii="仿宋" w:hAnsi="仿宋" w:eastAsia="仿宋"/>
          <w:sz w:val="32"/>
          <w:szCs w:val="32"/>
        </w:rPr>
        <w:t>年12月</w:t>
      </w:r>
      <w:r>
        <w:rPr>
          <w:rFonts w:hint="eastAsia" w:ascii="仿宋" w:hAnsi="仿宋" w:eastAsia="仿宋"/>
          <w:sz w:val="32"/>
          <w:szCs w:val="32"/>
          <w:lang w:val="en-US" w:eastAsia="zh-CN"/>
        </w:rPr>
        <w:t>15</w:t>
      </w:r>
      <w:r>
        <w:rPr>
          <w:rFonts w:hint="eastAsia" w:ascii="仿宋" w:hAnsi="仿宋" w:eastAsia="仿宋"/>
          <w:sz w:val="32"/>
          <w:szCs w:val="32"/>
        </w:rPr>
        <w:t>日止，项目实际支出</w:t>
      </w:r>
      <w:r>
        <w:rPr>
          <w:rFonts w:hint="eastAsia" w:ascii="仿宋" w:hAnsi="仿宋" w:eastAsia="仿宋" w:cs="Times New Roman"/>
          <w:sz w:val="32"/>
          <w:szCs w:val="32"/>
          <w:lang w:val="en-US" w:eastAsia="zh-CN"/>
        </w:rPr>
        <w:t>共计4838.61万元</w:t>
      </w:r>
      <w:r>
        <w:rPr>
          <w:rFonts w:hint="eastAsia" w:ascii="仿宋" w:hAnsi="仿宋" w:eastAsia="仿宋"/>
          <w:sz w:val="32"/>
          <w:szCs w:val="32"/>
        </w:rPr>
        <w:t>，资金使用率为</w:t>
      </w:r>
      <w:r>
        <w:rPr>
          <w:rFonts w:hint="eastAsia" w:ascii="仿宋" w:hAnsi="仿宋" w:eastAsia="仿宋"/>
          <w:sz w:val="32"/>
          <w:szCs w:val="32"/>
          <w:lang w:val="en-US" w:eastAsia="zh-CN"/>
        </w:rPr>
        <w:t>54.98</w:t>
      </w:r>
      <w:r>
        <w:rPr>
          <w:rFonts w:hint="eastAsia" w:ascii="仿宋" w:hAnsi="仿宋" w:eastAsia="仿宋"/>
          <w:sz w:val="32"/>
          <w:szCs w:val="32"/>
        </w:rPr>
        <w:t>%</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原因主要是部分部分工作推进速度较慢，且广播电视宣传工作、设计制作宣传资料工作、报纸宣传工作暂停；旅游交易会、展览会、博览会等参展工作因疫情影响不能去往上海，工作推迟；省、市旅发大会宣传和广告投放因疫情影响推迟2022年完成</w:t>
      </w:r>
      <w:r>
        <w:rPr>
          <w:rFonts w:hint="eastAsia" w:ascii="仿宋" w:hAnsi="仿宋" w:eastAsia="仿宋" w:cs="Times New Roman"/>
          <w:sz w:val="32"/>
          <w:szCs w:val="32"/>
          <w:lang w:eastAsia="zh-CN"/>
        </w:rPr>
        <w:t>。</w:t>
      </w:r>
    </w:p>
    <w:p>
      <w:pPr>
        <w:keepNext w:val="0"/>
        <w:keepLines w:val="0"/>
        <w:pageBreakBefore w:val="0"/>
        <w:widowControl w:val="0"/>
        <w:kinsoku/>
        <w:wordWrap/>
        <w:overflowPunct/>
        <w:topLinePunct w:val="0"/>
        <w:autoSpaceDE/>
        <w:autoSpaceDN/>
        <w:bidi w:val="0"/>
        <w:spacing w:line="600" w:lineRule="exact"/>
        <w:ind w:firstLine="562" w:firstLineChars="200"/>
        <w:textAlignment w:val="auto"/>
        <w:outlineLvl w:val="0"/>
        <w:rPr>
          <w:rFonts w:hint="eastAsia" w:ascii="楷体_GB2312" w:hAnsi="Calibri" w:eastAsia="楷体_GB2312" w:cs="Times New Roman"/>
          <w:b/>
          <w:color w:val="000000"/>
          <w:sz w:val="28"/>
          <w:szCs w:val="28"/>
        </w:rPr>
      </w:pPr>
      <w:r>
        <w:rPr>
          <w:rFonts w:hint="eastAsia" w:ascii="楷体_GB2312" w:hAnsi="Calibri" w:eastAsia="楷体_GB2312" w:cs="Times New Roman"/>
          <w:b/>
          <w:color w:val="000000"/>
          <w:sz w:val="28"/>
          <w:szCs w:val="28"/>
        </w:rPr>
        <w:t>（二）项目绩效目标</w:t>
      </w:r>
    </w:p>
    <w:p>
      <w:pPr>
        <w:keepNext w:val="0"/>
        <w:keepLines w:val="0"/>
        <w:pageBreakBefore w:val="0"/>
        <w:widowControl w:val="0"/>
        <w:kinsoku/>
        <w:wordWrap/>
        <w:overflowPunct/>
        <w:topLinePunct w:val="0"/>
        <w:autoSpaceDE/>
        <w:autoSpaceDN/>
        <w:bidi w:val="0"/>
        <w:spacing w:line="600" w:lineRule="exact"/>
        <w:ind w:firstLine="562" w:firstLineChars="200"/>
        <w:textAlignment w:val="auto"/>
        <w:rPr>
          <w:rFonts w:hint="eastAsia" w:ascii="黑体" w:hAnsi="黑体" w:eastAsia="黑体" w:cs="黑体"/>
          <w:sz w:val="32"/>
          <w:szCs w:val="32"/>
        </w:rPr>
      </w:pPr>
      <w:r>
        <w:rPr>
          <w:rFonts w:hint="eastAsia" w:ascii="楷体_GB2312" w:hAnsi="Calibri" w:eastAsia="楷体_GB2312" w:cs="Times New Roman"/>
          <w:b/>
          <w:color w:val="000000"/>
          <w:sz w:val="28"/>
          <w:szCs w:val="28"/>
        </w:rPr>
        <w:t>1、总体目标</w:t>
      </w:r>
    </w:p>
    <w:p>
      <w:p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eastAsia="zh-CN"/>
        </w:rPr>
        <w:t>完善文化旅游公共服务设施，丰富人民群众物质文化生活，推进“文化强市”“旅游强市”建设，打造“宜居宜业、宜学宜游的现代都市”，推进文化旅游高质量发展，提高人民群众生活的幸福感和满意度</w:t>
      </w:r>
      <w:r>
        <w:rPr>
          <w:rFonts w:hint="eastAsia" w:ascii="仿宋" w:hAnsi="仿宋" w:eastAsia="仿宋" w:cs="仿宋_GB2312"/>
          <w:sz w:val="32"/>
          <w:szCs w:val="32"/>
          <w:lang w:val="en-US" w:eastAsia="zh-CN"/>
        </w:rPr>
        <w:t>。</w:t>
      </w:r>
    </w:p>
    <w:p>
      <w:pPr>
        <w:keepNext w:val="0"/>
        <w:keepLines w:val="0"/>
        <w:pageBreakBefore w:val="0"/>
        <w:widowControl w:val="0"/>
        <w:kinsoku/>
        <w:wordWrap/>
        <w:overflowPunct/>
        <w:topLinePunct w:val="0"/>
        <w:autoSpaceDE/>
        <w:autoSpaceDN/>
        <w:bidi w:val="0"/>
        <w:spacing w:line="600" w:lineRule="exact"/>
        <w:ind w:firstLine="562" w:firstLineChars="200"/>
        <w:textAlignment w:val="auto"/>
        <w:rPr>
          <w:rFonts w:hint="eastAsia" w:ascii="楷体_GB2312" w:hAnsi="Calibri" w:eastAsia="楷体_GB2312" w:cs="Times New Roman"/>
          <w:b/>
          <w:color w:val="000000"/>
          <w:sz w:val="28"/>
          <w:szCs w:val="28"/>
        </w:rPr>
      </w:pPr>
      <w:r>
        <w:rPr>
          <w:rFonts w:hint="eastAsia" w:ascii="楷体_GB2312" w:hAnsi="Calibri" w:eastAsia="楷体_GB2312" w:cs="Times New Roman"/>
          <w:b/>
          <w:color w:val="000000"/>
          <w:sz w:val="28"/>
          <w:szCs w:val="28"/>
          <w:lang w:val="en-US" w:eastAsia="zh-CN"/>
        </w:rPr>
        <w:t>2、</w:t>
      </w:r>
      <w:r>
        <w:rPr>
          <w:rFonts w:hint="eastAsia" w:ascii="楷体_GB2312" w:hAnsi="Calibri" w:eastAsia="楷体_GB2312" w:cs="Times New Roman"/>
          <w:b/>
          <w:color w:val="000000"/>
          <w:sz w:val="28"/>
          <w:szCs w:val="28"/>
        </w:rPr>
        <w:t>阶段性目标</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 w:hAnsi="仿宋" w:eastAsia="仿宋" w:cs="仿宋"/>
          <w:sz w:val="32"/>
          <w:szCs w:val="32"/>
          <w:lang w:val="en-US" w:eastAsia="zh-CN"/>
        </w:rPr>
        <w:t>2021年，</w:t>
      </w:r>
      <w:r>
        <w:rPr>
          <w:rFonts w:hint="eastAsia" w:ascii="仿宋" w:hAnsi="仿宋" w:eastAsia="仿宋" w:cs="仿宋_GB2312"/>
          <w:sz w:val="32"/>
          <w:szCs w:val="32"/>
          <w:lang w:eastAsia="zh-CN"/>
        </w:rPr>
        <w:t>加大政策的扶持力度，制定出台各类文化和旅游政策性文件集成“政策工具包”；启动公共图书馆服务体系建设，开展各类文化惠民活动，助推夜经济发展和城市旅游；深化文艺院团改革，实施文艺精品计划，实施文艺汇演行动；实施文旅融合示范工程，注重招大引强引智；建设旅游中心城市，建设全要素文旅商圈，点亮夜间文旅经济，打造品牌节事活动，构建城市礼物体系；加大城市宣传力度，打造城市形象推广标识系统，唱响城市品牌，加大旅游推介。</w:t>
      </w:r>
    </w:p>
    <w:p>
      <w:pPr>
        <w:keepNext w:val="0"/>
        <w:keepLines w:val="0"/>
        <w:pageBreakBefore w:val="0"/>
        <w:widowControl w:val="0"/>
        <w:kinsoku/>
        <w:wordWrap/>
        <w:overflowPunct/>
        <w:topLinePunct w:val="0"/>
        <w:autoSpaceDE/>
        <w:autoSpaceDN/>
        <w:bidi w:val="0"/>
        <w:spacing w:line="600" w:lineRule="exact"/>
        <w:ind w:firstLine="560" w:firstLineChars="200"/>
        <w:textAlignment w:val="auto"/>
        <w:rPr>
          <w:rFonts w:hint="eastAsia" w:ascii="黑体" w:hAnsi="黑体" w:eastAsia="黑体" w:cs="Times New Roman"/>
          <w:sz w:val="28"/>
          <w:szCs w:val="28"/>
        </w:rPr>
      </w:pPr>
      <w:r>
        <w:rPr>
          <w:rFonts w:hint="eastAsia" w:ascii="黑体" w:hAnsi="黑体" w:eastAsia="黑体" w:cs="Times New Roman"/>
          <w:sz w:val="28"/>
          <w:szCs w:val="28"/>
        </w:rPr>
        <w:t>二、绩效评价工作开展情况</w:t>
      </w:r>
    </w:p>
    <w:p>
      <w:pPr>
        <w:keepNext w:val="0"/>
        <w:keepLines w:val="0"/>
        <w:pageBreakBefore w:val="0"/>
        <w:widowControl w:val="0"/>
        <w:kinsoku/>
        <w:wordWrap/>
        <w:overflowPunct/>
        <w:topLinePunct w:val="0"/>
        <w:autoSpaceDE/>
        <w:autoSpaceDN/>
        <w:bidi w:val="0"/>
        <w:spacing w:line="600" w:lineRule="exact"/>
        <w:ind w:firstLine="562" w:firstLineChars="200"/>
        <w:textAlignment w:val="auto"/>
        <w:outlineLvl w:val="0"/>
        <w:rPr>
          <w:rFonts w:hint="eastAsia" w:ascii="楷体_GB2312" w:hAnsi="Calibri" w:eastAsia="楷体_GB2312" w:cs="Times New Roman"/>
          <w:b/>
          <w:color w:val="000000"/>
          <w:sz w:val="28"/>
          <w:szCs w:val="28"/>
        </w:rPr>
      </w:pPr>
      <w:r>
        <w:rPr>
          <w:rFonts w:hint="eastAsia" w:ascii="楷体_GB2312" w:hAnsi="Calibri" w:eastAsia="楷体_GB2312" w:cs="Times New Roman"/>
          <w:b/>
          <w:color w:val="000000"/>
          <w:sz w:val="28"/>
          <w:szCs w:val="28"/>
        </w:rPr>
        <w:t>（一）绩效评价目的、对象和范围。</w:t>
      </w:r>
    </w:p>
    <w:p>
      <w:pPr>
        <w:keepNext w:val="0"/>
        <w:keepLines w:val="0"/>
        <w:pageBreakBefore w:val="0"/>
        <w:widowControl w:val="0"/>
        <w:kinsoku/>
        <w:wordWrap/>
        <w:overflowPunct/>
        <w:topLinePunct w:val="0"/>
        <w:autoSpaceDE/>
        <w:autoSpaceDN/>
        <w:bidi w:val="0"/>
        <w:spacing w:line="600" w:lineRule="exact"/>
        <w:ind w:firstLine="562" w:firstLineChars="200"/>
        <w:textAlignment w:val="auto"/>
        <w:outlineLvl w:val="0"/>
        <w:rPr>
          <w:rFonts w:hint="eastAsia" w:ascii="楷体_GB2312" w:hAnsi="Calibri" w:eastAsia="楷体_GB2312" w:cs="Times New Roman"/>
          <w:b/>
          <w:color w:val="000000"/>
          <w:sz w:val="28"/>
          <w:szCs w:val="28"/>
        </w:rPr>
      </w:pPr>
      <w:r>
        <w:rPr>
          <w:rFonts w:hint="eastAsia" w:ascii="楷体_GB2312" w:hAnsi="Calibri" w:eastAsia="楷体_GB2312" w:cs="Times New Roman"/>
          <w:b/>
          <w:color w:val="000000"/>
          <w:sz w:val="28"/>
          <w:szCs w:val="28"/>
        </w:rPr>
        <w:t>1、绩效评价目的</w:t>
      </w:r>
    </w:p>
    <w:p>
      <w:pPr>
        <w:snapToGrid w:val="0"/>
        <w:spacing w:line="560" w:lineRule="exact"/>
        <w:ind w:firstLine="640" w:firstLineChars="200"/>
        <w:rPr>
          <w:rFonts w:hint="eastAsia" w:ascii="仿宋_GB2312" w:hAnsi="仿宋_GB2312" w:eastAsia="仿宋" w:cs="仿宋_GB2312"/>
          <w:szCs w:val="32"/>
          <w:lang w:eastAsia="zh-CN"/>
        </w:rPr>
      </w:pPr>
      <w:r>
        <w:rPr>
          <w:rFonts w:hint="eastAsia" w:ascii="仿宋" w:hAnsi="仿宋" w:eastAsia="仿宋" w:cs="仿宋_GB2312"/>
          <w:sz w:val="32"/>
          <w:szCs w:val="32"/>
        </w:rPr>
        <w:t>通过绩效评价，科学、客观、公正的对202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年度</w:t>
      </w:r>
      <w:r>
        <w:rPr>
          <w:rFonts w:hint="eastAsia" w:ascii="仿宋" w:hAnsi="仿宋" w:eastAsia="仿宋" w:cs="仿宋_GB2312"/>
          <w:sz w:val="32"/>
          <w:szCs w:val="32"/>
          <w:lang w:eastAsia="zh-CN"/>
        </w:rPr>
        <w:t>南昌市文化广电新闻出版旅游局文化旅游产业发展专项</w:t>
      </w:r>
      <w:r>
        <w:rPr>
          <w:rFonts w:hint="eastAsia" w:ascii="仿宋" w:hAnsi="仿宋" w:eastAsia="仿宋" w:cs="仿宋_GB2312"/>
          <w:sz w:val="32"/>
          <w:szCs w:val="32"/>
        </w:rPr>
        <w:t>项目资金进行整体综合性评价，分析项目各项指标是否达到预期完成情况，评价资金使用的规范性和有效性，并及时总结经验，分析存在问题，提出改进意见和建议，促进本单位提升财政项目资金的预算绩效管理工作水平，强化支出责任，优化资源配置效率，提高财政资金使用效益</w:t>
      </w:r>
      <w:r>
        <w:rPr>
          <w:rFonts w:hint="eastAsia" w:ascii="仿宋" w:hAnsi="仿宋" w:eastAsia="仿宋" w:cs="仿宋_GB2312"/>
          <w:sz w:val="32"/>
          <w:szCs w:val="32"/>
          <w:lang w:eastAsia="zh-CN"/>
        </w:rPr>
        <w:t>。</w:t>
      </w:r>
    </w:p>
    <w:p>
      <w:pPr>
        <w:keepNext w:val="0"/>
        <w:keepLines w:val="0"/>
        <w:pageBreakBefore w:val="0"/>
        <w:widowControl w:val="0"/>
        <w:kinsoku/>
        <w:wordWrap/>
        <w:overflowPunct/>
        <w:topLinePunct w:val="0"/>
        <w:autoSpaceDE/>
        <w:autoSpaceDN/>
        <w:bidi w:val="0"/>
        <w:spacing w:line="600" w:lineRule="exact"/>
        <w:ind w:firstLine="562" w:firstLineChars="200"/>
        <w:textAlignment w:val="auto"/>
        <w:outlineLvl w:val="0"/>
        <w:rPr>
          <w:rFonts w:hint="eastAsia" w:ascii="楷体_GB2312" w:hAnsi="Calibri" w:eastAsia="楷体_GB2312" w:cs="Times New Roman"/>
          <w:b/>
          <w:color w:val="000000"/>
          <w:sz w:val="28"/>
          <w:szCs w:val="28"/>
        </w:rPr>
      </w:pPr>
      <w:r>
        <w:rPr>
          <w:rFonts w:hint="eastAsia" w:ascii="楷体_GB2312" w:hAnsi="Calibri" w:eastAsia="楷体_GB2312" w:cs="Times New Roman"/>
          <w:b/>
          <w:color w:val="000000"/>
          <w:sz w:val="28"/>
          <w:szCs w:val="28"/>
          <w:lang w:val="en-US" w:eastAsia="zh-CN"/>
        </w:rPr>
        <w:t>2、</w:t>
      </w:r>
      <w:r>
        <w:rPr>
          <w:rFonts w:hint="eastAsia" w:ascii="楷体_GB2312" w:hAnsi="Calibri" w:eastAsia="楷体_GB2312" w:cs="Times New Roman"/>
          <w:b/>
          <w:color w:val="000000"/>
          <w:sz w:val="28"/>
          <w:szCs w:val="28"/>
        </w:rPr>
        <w:t>绩效评价对象和范围</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本项目绩效评价对象为南昌南昌市文化广电新闻出版旅游局部门所有资金项目，本次绩效评价范围是：</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（1）绩效目标与战略发展规划的适应性；</w:t>
      </w:r>
      <w:r>
        <w:rPr>
          <w:rFonts w:hint="eastAsia" w:ascii="仿宋_GB2312" w:eastAsia="仿宋_GB2312"/>
          <w:sz w:val="32"/>
          <w:szCs w:val="32"/>
          <w:lang w:val="en-US" w:eastAsia="zh-CN"/>
        </w:rPr>
        <w:br w:type="textWrapping"/>
      </w:r>
      <w:r>
        <w:rPr>
          <w:rFonts w:hint="eastAsia" w:ascii="仿宋_GB2312" w:eastAsia="仿宋_GB2312"/>
          <w:sz w:val="32"/>
          <w:szCs w:val="32"/>
          <w:lang w:val="en-US" w:eastAsia="zh-CN"/>
        </w:rPr>
        <w:t>　　（2）财政资金使用情况、财务管理状况和资产配置、使用、处置及其收益管理情况；</w:t>
      </w:r>
      <w:r>
        <w:rPr>
          <w:rFonts w:hint="eastAsia" w:ascii="仿宋_GB2312" w:eastAsia="仿宋_GB2312"/>
          <w:sz w:val="32"/>
          <w:szCs w:val="32"/>
          <w:lang w:val="en-US" w:eastAsia="zh-CN"/>
        </w:rPr>
        <w:br w:type="textWrapping"/>
      </w:r>
      <w:r>
        <w:rPr>
          <w:rFonts w:hint="eastAsia" w:ascii="仿宋_GB2312" w:eastAsia="仿宋_GB2312"/>
          <w:sz w:val="32"/>
          <w:szCs w:val="32"/>
          <w:lang w:val="en-US" w:eastAsia="zh-CN"/>
        </w:rPr>
        <w:t>　　（3）为加强管理所制定的相关制度、采取的措施等；</w:t>
      </w:r>
      <w:r>
        <w:rPr>
          <w:rFonts w:hint="eastAsia" w:ascii="仿宋_GB2312" w:eastAsia="仿宋_GB2312"/>
          <w:sz w:val="32"/>
          <w:szCs w:val="32"/>
          <w:lang w:val="en-US" w:eastAsia="zh-CN"/>
        </w:rPr>
        <w:br w:type="textWrapping"/>
      </w:r>
      <w:r>
        <w:rPr>
          <w:rFonts w:hint="eastAsia" w:ascii="仿宋_GB2312" w:eastAsia="仿宋_GB2312"/>
          <w:sz w:val="32"/>
          <w:szCs w:val="32"/>
          <w:lang w:val="en-US" w:eastAsia="zh-CN"/>
        </w:rPr>
        <w:t>　　（4）绩效目标的实现程度，包括是否达到预定产出和效果等；</w:t>
      </w:r>
      <w:r>
        <w:rPr>
          <w:rFonts w:hint="eastAsia" w:ascii="仿宋_GB2312" w:eastAsia="仿宋_GB2312"/>
          <w:sz w:val="32"/>
          <w:szCs w:val="32"/>
          <w:lang w:val="en-US" w:eastAsia="zh-CN"/>
        </w:rPr>
        <w:br w:type="textWrapping"/>
      </w:r>
      <w:r>
        <w:rPr>
          <w:rFonts w:hint="eastAsia" w:ascii="仿宋_GB2312" w:eastAsia="仿宋_GB2312"/>
          <w:sz w:val="32"/>
          <w:szCs w:val="32"/>
          <w:lang w:val="en-US" w:eastAsia="zh-CN"/>
        </w:rPr>
        <w:t>　　（5）需要评价的其他内容。</w:t>
      </w:r>
    </w:p>
    <w:p>
      <w:pPr>
        <w:keepNext w:val="0"/>
        <w:keepLines w:val="0"/>
        <w:pageBreakBefore w:val="0"/>
        <w:widowControl w:val="0"/>
        <w:kinsoku/>
        <w:wordWrap/>
        <w:overflowPunct/>
        <w:topLinePunct w:val="0"/>
        <w:autoSpaceDE/>
        <w:autoSpaceDN/>
        <w:bidi w:val="0"/>
        <w:spacing w:line="600" w:lineRule="exact"/>
        <w:ind w:firstLine="562" w:firstLineChars="200"/>
        <w:textAlignment w:val="auto"/>
        <w:outlineLvl w:val="0"/>
        <w:rPr>
          <w:rFonts w:hint="eastAsia" w:ascii="楷体_GB2312" w:hAnsi="Calibri" w:eastAsia="楷体_GB2312" w:cs="Times New Roman"/>
          <w:b/>
          <w:color w:val="000000"/>
          <w:sz w:val="28"/>
          <w:szCs w:val="28"/>
        </w:rPr>
      </w:pPr>
      <w:r>
        <w:rPr>
          <w:rFonts w:hint="eastAsia" w:ascii="楷体_GB2312" w:hAnsi="Calibri" w:eastAsia="楷体_GB2312" w:cs="Times New Roman"/>
          <w:b/>
          <w:color w:val="000000"/>
          <w:sz w:val="28"/>
          <w:szCs w:val="28"/>
          <w:lang w:eastAsia="zh-CN"/>
        </w:rPr>
        <w:t>（二）</w:t>
      </w:r>
      <w:r>
        <w:rPr>
          <w:rFonts w:hint="eastAsia" w:ascii="楷体_GB2312" w:hAnsi="Calibri" w:eastAsia="楷体_GB2312" w:cs="Times New Roman"/>
          <w:b/>
          <w:color w:val="000000"/>
          <w:sz w:val="28"/>
          <w:szCs w:val="28"/>
        </w:rPr>
        <w:t>绩效评价原则、评价指标体系（附表说明）、评价方法、评价标准等。</w:t>
      </w:r>
    </w:p>
    <w:p>
      <w:pPr>
        <w:keepNext w:val="0"/>
        <w:keepLines w:val="0"/>
        <w:pageBreakBefore w:val="0"/>
        <w:widowControl w:val="0"/>
        <w:kinsoku/>
        <w:wordWrap/>
        <w:overflowPunct/>
        <w:topLinePunct w:val="0"/>
        <w:autoSpaceDE/>
        <w:autoSpaceDN/>
        <w:bidi w:val="0"/>
        <w:spacing w:line="600" w:lineRule="exact"/>
        <w:ind w:firstLine="562" w:firstLineChars="200"/>
        <w:textAlignment w:val="auto"/>
        <w:outlineLvl w:val="0"/>
        <w:rPr>
          <w:rFonts w:hint="eastAsia" w:ascii="楷体_GB2312" w:hAnsi="Calibri" w:eastAsia="楷体_GB2312" w:cs="Times New Roman"/>
          <w:b/>
          <w:color w:val="000000"/>
          <w:sz w:val="28"/>
          <w:szCs w:val="28"/>
        </w:rPr>
      </w:pPr>
      <w:r>
        <w:rPr>
          <w:rFonts w:hint="eastAsia" w:ascii="楷体_GB2312" w:hAnsi="Calibri" w:eastAsia="楷体_GB2312" w:cs="Times New Roman"/>
          <w:b/>
          <w:color w:val="000000"/>
          <w:sz w:val="28"/>
          <w:szCs w:val="28"/>
          <w:lang w:val="en-US" w:eastAsia="zh-CN"/>
        </w:rPr>
        <w:t>1、</w:t>
      </w:r>
      <w:r>
        <w:rPr>
          <w:rFonts w:hint="eastAsia" w:ascii="楷体_GB2312" w:hAnsi="Calibri" w:eastAsia="楷体_GB2312" w:cs="Times New Roman"/>
          <w:b/>
          <w:color w:val="000000"/>
          <w:sz w:val="28"/>
          <w:szCs w:val="28"/>
        </w:rPr>
        <w:t>绩效评价原则</w:t>
      </w:r>
    </w:p>
    <w:p>
      <w:pPr>
        <w:pStyle w:val="7"/>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Cs w:val="32"/>
          <w:lang w:val="en-US" w:eastAsia="zh-CN"/>
        </w:rPr>
      </w:pPr>
      <w:r>
        <w:rPr>
          <w:rFonts w:hint="eastAsia" w:ascii="仿宋_GB2312" w:hAnsi="仿宋_GB2312" w:cs="仿宋_GB2312"/>
          <w:szCs w:val="32"/>
          <w:lang w:val="en-US" w:eastAsia="zh-CN"/>
        </w:rPr>
        <w:t>评价原则：</w:t>
      </w:r>
    </w:p>
    <w:p>
      <w:pPr>
        <w:pStyle w:val="7"/>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Cs w:val="32"/>
          <w:lang w:eastAsia="zh-CN"/>
        </w:rPr>
      </w:pPr>
      <w:r>
        <w:rPr>
          <w:rFonts w:hint="eastAsia" w:ascii="仿宋_GB2312" w:hAnsi="仿宋_GB2312" w:cs="仿宋_GB2312"/>
          <w:szCs w:val="32"/>
        </w:rPr>
        <w:t>（1）科学规范原则。绩效评价注重财政支出的经济性、效率性</w:t>
      </w:r>
      <w:r>
        <w:rPr>
          <w:rFonts w:hint="eastAsia" w:ascii="仿宋_GB2312" w:hAnsi="仿宋_GB2312" w:cs="仿宋_GB2312"/>
          <w:szCs w:val="32"/>
          <w:lang w:val="en-US" w:eastAsia="zh-CN"/>
        </w:rPr>
        <w:t>和</w:t>
      </w:r>
      <w:r>
        <w:rPr>
          <w:rFonts w:hint="eastAsia" w:ascii="仿宋_GB2312" w:hAnsi="仿宋_GB2312" w:cs="仿宋_GB2312"/>
          <w:szCs w:val="32"/>
        </w:rPr>
        <w:t>有效性，严格执行规定的程序，采用定量与定性分析相结合的方法。</w:t>
      </w:r>
      <w:r>
        <w:rPr>
          <w:rFonts w:hint="eastAsia" w:ascii="仿宋_GB2312" w:hAnsi="仿宋_GB2312" w:cs="仿宋_GB2312"/>
          <w:szCs w:val="32"/>
        </w:rPr>
        <w:br w:type="textWrapping"/>
      </w:r>
      <w:r>
        <w:rPr>
          <w:rFonts w:hint="eastAsia" w:ascii="仿宋_GB2312" w:hAnsi="仿宋_GB2312" w:cs="仿宋_GB2312"/>
          <w:szCs w:val="32"/>
          <w:lang w:val="en-US" w:eastAsia="zh-CN"/>
        </w:rPr>
        <w:t xml:space="preserve">    </w:t>
      </w:r>
      <w:r>
        <w:rPr>
          <w:rFonts w:hint="eastAsia" w:ascii="仿宋_GB2312" w:hAnsi="仿宋_GB2312" w:cs="仿宋_GB2312"/>
          <w:szCs w:val="32"/>
        </w:rPr>
        <w:t>（2）公正公开原则。绩效评价客观、公正，标准统一、资料可靠，依法公开并接受监督。</w:t>
      </w:r>
      <w:r>
        <w:rPr>
          <w:rFonts w:hint="eastAsia" w:ascii="仿宋_GB2312" w:hAnsi="仿宋_GB2312" w:cs="仿宋_GB2312"/>
          <w:szCs w:val="32"/>
        </w:rPr>
        <w:br w:type="textWrapping"/>
      </w:r>
      <w:r>
        <w:rPr>
          <w:rFonts w:hint="eastAsia" w:ascii="仿宋_GB2312" w:hAnsi="仿宋_GB2312" w:cs="仿宋_GB2312"/>
          <w:szCs w:val="32"/>
          <w:lang w:val="en-US" w:eastAsia="zh-CN"/>
        </w:rPr>
        <w:t xml:space="preserve">    </w:t>
      </w:r>
      <w:r>
        <w:rPr>
          <w:rFonts w:hint="eastAsia" w:ascii="仿宋_GB2312" w:hAnsi="仿宋_GB2312" w:cs="仿宋_GB2312"/>
          <w:szCs w:val="32"/>
        </w:rPr>
        <w:t>（3）分级分类原则。绩效评价由各级财政部门、部门（单位）根据评价对象的特点，分类组织实施。</w:t>
      </w:r>
      <w:r>
        <w:rPr>
          <w:rFonts w:hint="eastAsia" w:ascii="仿宋_GB2312" w:hAnsi="仿宋_GB2312" w:cs="仿宋_GB2312"/>
          <w:szCs w:val="32"/>
        </w:rPr>
        <w:br w:type="textWrapping"/>
      </w:r>
      <w:r>
        <w:rPr>
          <w:rFonts w:hint="eastAsia" w:ascii="仿宋_GB2312" w:hAnsi="仿宋_GB2312" w:cs="仿宋_GB2312"/>
          <w:szCs w:val="32"/>
          <w:lang w:val="en-US" w:eastAsia="zh-CN"/>
        </w:rPr>
        <w:t xml:space="preserve">    </w:t>
      </w:r>
      <w:r>
        <w:rPr>
          <w:rFonts w:hint="eastAsia" w:ascii="仿宋_GB2312" w:hAnsi="仿宋_GB2312" w:cs="仿宋_GB2312"/>
          <w:szCs w:val="32"/>
        </w:rPr>
        <w:t>（4）绩效相关原则。绩效评价针对具体支出及其产出绩效进行，评价结果清晰反映支出和产出绩效之间的紧密对应关系。</w:t>
      </w:r>
      <w:r>
        <w:rPr>
          <w:rFonts w:hint="eastAsia" w:ascii="仿宋_GB2312" w:hAnsi="仿宋_GB2312" w:cs="仿宋_GB2312"/>
          <w:szCs w:val="32"/>
        </w:rPr>
        <w:br w:type="textWrapping"/>
      </w:r>
      <w:r>
        <w:rPr>
          <w:rFonts w:hint="eastAsia" w:ascii="仿宋_GB2312" w:hAnsi="仿宋_GB2312" w:cs="仿宋_GB2312"/>
          <w:szCs w:val="32"/>
          <w:lang w:val="en-US" w:eastAsia="zh-CN"/>
        </w:rPr>
        <w:t xml:space="preserve">     </w:t>
      </w:r>
      <w:r>
        <w:rPr>
          <w:rFonts w:hint="eastAsia" w:ascii="仿宋_GB2312" w:hAnsi="仿宋_GB2312" w:cs="仿宋_GB2312"/>
          <w:szCs w:val="32"/>
        </w:rPr>
        <w:t>根据以上原则，绩效评价应遵循如下要求</w:t>
      </w:r>
      <w:r>
        <w:rPr>
          <w:rFonts w:hint="eastAsia" w:ascii="仿宋_GB2312" w:hAnsi="仿宋_GB2312" w:cs="仿宋_GB2312"/>
          <w:szCs w:val="32"/>
          <w:lang w:eastAsia="zh-CN"/>
        </w:rPr>
        <w:t>：</w:t>
      </w:r>
      <w:r>
        <w:rPr>
          <w:rFonts w:hint="eastAsia" w:ascii="仿宋_GB2312" w:hAnsi="仿宋_GB2312" w:cs="仿宋_GB2312"/>
          <w:szCs w:val="32"/>
        </w:rPr>
        <w:br w:type="textWrapping"/>
      </w:r>
      <w:r>
        <w:rPr>
          <w:rFonts w:hint="eastAsia" w:ascii="仿宋_GB2312" w:hAnsi="仿宋_GB2312" w:cs="仿宋_GB2312"/>
          <w:szCs w:val="32"/>
          <w:lang w:val="en-US" w:eastAsia="zh-CN"/>
        </w:rPr>
        <w:t xml:space="preserve">    </w:t>
      </w:r>
      <w:r>
        <w:rPr>
          <w:rFonts w:hint="eastAsia" w:ascii="仿宋_GB2312" w:hAnsi="仿宋_GB2312" w:cs="仿宋_GB2312"/>
          <w:szCs w:val="32"/>
        </w:rPr>
        <w:t>（1）在数据采集时，采取客观数据，主管部门审查、社会中介组织复查，与问卷调查相结合的形式，以保证各项指标的真实性。</w:t>
      </w:r>
      <w:r>
        <w:rPr>
          <w:rFonts w:hint="eastAsia" w:ascii="仿宋_GB2312" w:hAnsi="仿宋_GB2312" w:cs="仿宋_GB2312"/>
          <w:szCs w:val="32"/>
        </w:rPr>
        <w:br w:type="textWrapping"/>
      </w:r>
      <w:r>
        <w:rPr>
          <w:rFonts w:hint="eastAsia" w:ascii="仿宋_GB2312" w:hAnsi="仿宋_GB2312" w:cs="仿宋_GB2312"/>
          <w:szCs w:val="32"/>
          <w:lang w:val="en-US" w:eastAsia="zh-CN"/>
        </w:rPr>
        <w:t xml:space="preserve">    </w:t>
      </w:r>
      <w:r>
        <w:rPr>
          <w:rFonts w:hint="eastAsia" w:ascii="仿宋_GB2312" w:hAnsi="仿宋_GB2312" w:cs="仿宋_GB2312"/>
          <w:szCs w:val="32"/>
        </w:rPr>
        <w:t>（2）保证评价结果的真实性、公正性，提高评价报告的公信力。</w:t>
      </w:r>
      <w:r>
        <w:rPr>
          <w:rFonts w:hint="eastAsia" w:ascii="仿宋_GB2312" w:hAnsi="仿宋_GB2312" w:cs="仿宋_GB2312"/>
          <w:szCs w:val="32"/>
        </w:rPr>
        <w:br w:type="textWrapping"/>
      </w:r>
      <w:r>
        <w:rPr>
          <w:rFonts w:hint="eastAsia" w:ascii="仿宋_GB2312" w:hAnsi="仿宋_GB2312" w:cs="仿宋_GB2312"/>
          <w:szCs w:val="32"/>
          <w:lang w:val="en-US" w:eastAsia="zh-CN"/>
        </w:rPr>
        <w:t xml:space="preserve">    </w:t>
      </w:r>
      <w:r>
        <w:rPr>
          <w:rFonts w:hint="eastAsia" w:ascii="仿宋_GB2312" w:hAnsi="仿宋_GB2312" w:cs="仿宋_GB2312"/>
          <w:szCs w:val="32"/>
        </w:rPr>
        <w:t>（3）绩效评价报告应当简明扼要，除了对绩效评价的过程、结果描述外，还应总结经验，指出问题，并就共性问题提出可操作性改进建议。</w:t>
      </w:r>
      <w:r>
        <w:rPr>
          <w:rFonts w:hint="eastAsia" w:ascii="仿宋_GB2312" w:hAnsi="仿宋_GB2312" w:cs="仿宋_GB2312"/>
          <w:szCs w:val="32"/>
        </w:rPr>
        <w:br w:type="textWrapping"/>
      </w:r>
      <w:r>
        <w:rPr>
          <w:rFonts w:hint="eastAsia" w:ascii="仿宋_GB2312" w:hAnsi="仿宋_GB2312" w:cs="仿宋_GB2312"/>
          <w:szCs w:val="32"/>
          <w:lang w:val="en-US" w:eastAsia="zh-CN"/>
        </w:rPr>
        <w:t xml:space="preserve">    </w:t>
      </w:r>
      <w:r>
        <w:rPr>
          <w:rFonts w:hint="eastAsia" w:ascii="仿宋_GB2312" w:hAnsi="仿宋_GB2312" w:cs="仿宋_GB2312"/>
          <w:szCs w:val="32"/>
        </w:rPr>
        <w:t>评价依据</w:t>
      </w:r>
      <w:r>
        <w:rPr>
          <w:rFonts w:hint="eastAsia" w:ascii="仿宋_GB2312" w:hAnsi="仿宋_GB2312" w:cs="仿宋_GB2312"/>
          <w:szCs w:val="32"/>
          <w:lang w:eastAsia="zh-CN"/>
        </w:rPr>
        <w:t>：</w:t>
      </w:r>
      <w:r>
        <w:rPr>
          <w:rFonts w:hint="eastAsia" w:ascii="仿宋_GB2312" w:hAnsi="仿宋_GB2312" w:cs="仿宋_GB2312"/>
          <w:szCs w:val="32"/>
        </w:rPr>
        <w:br w:type="textWrapping"/>
      </w:r>
      <w:r>
        <w:rPr>
          <w:rFonts w:hint="eastAsia" w:ascii="仿宋_GB2312" w:hAnsi="仿宋_GB2312" w:cs="仿宋_GB2312"/>
          <w:szCs w:val="32"/>
          <w:lang w:val="en-US" w:eastAsia="zh-CN"/>
        </w:rPr>
        <w:t xml:space="preserve">    </w:t>
      </w:r>
      <w:r>
        <w:rPr>
          <w:rFonts w:hint="eastAsia" w:ascii="仿宋_GB2312" w:hAnsi="仿宋_GB2312" w:cs="仿宋_GB2312"/>
          <w:szCs w:val="32"/>
        </w:rPr>
        <w:t>（1）各专项资金管理的相关法律法规和政策性文件。</w:t>
      </w:r>
      <w:r>
        <w:rPr>
          <w:rFonts w:hint="eastAsia" w:ascii="仿宋_GB2312" w:hAnsi="仿宋_GB2312" w:cs="仿宋_GB2312"/>
          <w:szCs w:val="32"/>
        </w:rPr>
        <w:br w:type="textWrapping"/>
      </w:r>
      <w:r>
        <w:rPr>
          <w:rFonts w:hint="eastAsia" w:ascii="仿宋_GB2312" w:hAnsi="仿宋_GB2312" w:cs="仿宋_GB2312"/>
          <w:szCs w:val="32"/>
          <w:lang w:val="en-US" w:eastAsia="zh-CN"/>
        </w:rPr>
        <w:t xml:space="preserve">    </w:t>
      </w:r>
      <w:r>
        <w:rPr>
          <w:rFonts w:hint="eastAsia" w:ascii="仿宋_GB2312" w:hAnsi="仿宋_GB2312" w:cs="仿宋_GB2312"/>
          <w:szCs w:val="32"/>
        </w:rPr>
        <w:t>（2）市政府《关于印发&lt;南昌市财政支出绩效评价管理办法（试行）&gt;的通知》（洪府发〔2014〕8号）。</w:t>
      </w:r>
      <w:r>
        <w:rPr>
          <w:rFonts w:hint="eastAsia" w:ascii="仿宋_GB2312" w:hAnsi="仿宋_GB2312" w:cs="仿宋_GB2312"/>
          <w:szCs w:val="32"/>
        </w:rPr>
        <w:br w:type="textWrapping"/>
      </w:r>
      <w:r>
        <w:rPr>
          <w:rFonts w:hint="eastAsia" w:ascii="仿宋_GB2312" w:hAnsi="仿宋_GB2312" w:cs="仿宋_GB2312"/>
          <w:szCs w:val="32"/>
          <w:lang w:val="en-US" w:eastAsia="zh-CN"/>
        </w:rPr>
        <w:t xml:space="preserve">    </w:t>
      </w:r>
      <w:r>
        <w:rPr>
          <w:rFonts w:hint="eastAsia" w:ascii="仿宋_GB2312" w:hAnsi="仿宋_GB2312" w:cs="仿宋_GB2312"/>
          <w:szCs w:val="32"/>
        </w:rPr>
        <w:t>（3）《江西省财政厅关于转发财政部&lt;预算绩效评价共性指标体系框架&gt;的通知》的通知（洪财预〔2013〕69号）。</w:t>
      </w:r>
      <w:r>
        <w:rPr>
          <w:rFonts w:hint="eastAsia" w:ascii="仿宋_GB2312" w:hAnsi="仿宋_GB2312" w:cs="仿宋_GB2312"/>
          <w:szCs w:val="32"/>
        </w:rPr>
        <w:br w:type="textWrapping"/>
      </w:r>
      <w:r>
        <w:rPr>
          <w:rFonts w:hint="eastAsia" w:ascii="仿宋_GB2312" w:hAnsi="仿宋_GB2312" w:cs="仿宋_GB2312"/>
          <w:szCs w:val="32"/>
          <w:lang w:val="en-US" w:eastAsia="zh-CN"/>
        </w:rPr>
        <w:t xml:space="preserve">    </w:t>
      </w:r>
      <w:r>
        <w:rPr>
          <w:rFonts w:hint="eastAsia" w:ascii="仿宋_GB2312" w:hAnsi="仿宋_GB2312" w:cs="仿宋_GB2312"/>
          <w:szCs w:val="32"/>
        </w:rPr>
        <w:t>（4）《南昌市财政局关于开展2021年度单位自评及部门评价工作的通知》（洪财</w:t>
      </w:r>
      <w:r>
        <w:rPr>
          <w:rFonts w:hint="eastAsia" w:ascii="仿宋_GB2312" w:hAnsi="仿宋_GB2312" w:cs="仿宋_GB2312"/>
          <w:szCs w:val="32"/>
          <w:lang w:val="en-US" w:eastAsia="zh-CN"/>
        </w:rPr>
        <w:t>绩</w:t>
      </w:r>
      <w:r>
        <w:rPr>
          <w:rFonts w:hint="eastAsia" w:ascii="仿宋_GB2312" w:hAnsi="仿宋_GB2312" w:cs="仿宋_GB2312"/>
          <w:szCs w:val="32"/>
        </w:rPr>
        <w:t>〔202</w:t>
      </w:r>
      <w:r>
        <w:rPr>
          <w:rFonts w:hint="eastAsia" w:ascii="仿宋_GB2312" w:hAnsi="仿宋_GB2312" w:cs="仿宋_GB2312"/>
          <w:szCs w:val="32"/>
          <w:lang w:val="en-US" w:eastAsia="zh-CN"/>
        </w:rPr>
        <w:t>2</w:t>
      </w:r>
      <w:r>
        <w:rPr>
          <w:rFonts w:hint="eastAsia" w:ascii="仿宋_GB2312" w:hAnsi="仿宋_GB2312" w:cs="仿宋_GB2312"/>
          <w:szCs w:val="32"/>
        </w:rPr>
        <w:t>〕</w:t>
      </w:r>
      <w:r>
        <w:rPr>
          <w:rFonts w:hint="eastAsia" w:ascii="仿宋_GB2312" w:hAnsi="仿宋_GB2312" w:cs="仿宋_GB2312"/>
          <w:szCs w:val="32"/>
          <w:lang w:val="en-US" w:eastAsia="zh-CN"/>
        </w:rPr>
        <w:t>1</w:t>
      </w:r>
      <w:r>
        <w:rPr>
          <w:rFonts w:hint="eastAsia" w:ascii="仿宋_GB2312" w:hAnsi="仿宋_GB2312" w:cs="仿宋_GB2312"/>
          <w:szCs w:val="32"/>
        </w:rPr>
        <w:t>号）</w:t>
      </w:r>
      <w:r>
        <w:rPr>
          <w:rFonts w:hint="eastAsia" w:ascii="仿宋_GB2312" w:hAnsi="仿宋_GB2312" w:cs="仿宋_GB2312"/>
          <w:szCs w:val="32"/>
          <w:lang w:eastAsia="zh-CN"/>
        </w:rPr>
        <w:t>。</w:t>
      </w:r>
    </w:p>
    <w:p>
      <w:pPr>
        <w:pStyle w:val="7"/>
        <w:keepNext w:val="0"/>
        <w:keepLines w:val="0"/>
        <w:pageBreakBefore w:val="0"/>
        <w:widowControl w:val="0"/>
        <w:kinsoku/>
        <w:wordWrap/>
        <w:overflowPunct/>
        <w:topLinePunct w:val="0"/>
        <w:autoSpaceDE/>
        <w:autoSpaceDN/>
        <w:bidi w:val="0"/>
        <w:spacing w:line="600" w:lineRule="exact"/>
        <w:textAlignment w:val="auto"/>
        <w:rPr>
          <w:rFonts w:hint="eastAsia" w:ascii="仿宋_GB2312" w:hAnsi="仿宋_GB2312" w:eastAsia="仿宋_GB2312" w:cs="仿宋_GB2312"/>
          <w:szCs w:val="32"/>
          <w:lang w:val="en-US" w:eastAsia="zh-CN"/>
        </w:rPr>
      </w:pPr>
      <w:r>
        <w:rPr>
          <w:rFonts w:hint="eastAsia" w:ascii="仿宋_GB2312" w:hAnsi="仿宋_GB2312" w:cs="仿宋_GB2312"/>
          <w:szCs w:val="32"/>
        </w:rPr>
        <w:t>评价方法</w:t>
      </w:r>
      <w:r>
        <w:rPr>
          <w:rFonts w:hint="eastAsia" w:ascii="仿宋_GB2312" w:hAnsi="仿宋_GB2312" w:cs="仿宋_GB2312"/>
          <w:szCs w:val="32"/>
          <w:lang w:eastAsia="zh-CN"/>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绩效评价的方法与指标体系围绕南昌市文化广电新闻出版旅游局的任务、性质、功能和责任，从工作效率、服务质量、社会责任、经济管理和财务政策，市民与社会反响等角度建设该项目进行评价指标体系。</w:t>
      </w:r>
    </w:p>
    <w:p>
      <w:pPr>
        <w:keepNext w:val="0"/>
        <w:keepLines w:val="0"/>
        <w:pageBreakBefore w:val="0"/>
        <w:widowControl w:val="0"/>
        <w:kinsoku/>
        <w:wordWrap/>
        <w:overflowPunct/>
        <w:topLinePunct w:val="0"/>
        <w:autoSpaceDE/>
        <w:autoSpaceDN/>
        <w:bidi w:val="0"/>
        <w:spacing w:line="600" w:lineRule="exact"/>
        <w:ind w:firstLine="562" w:firstLineChars="200"/>
        <w:textAlignment w:val="auto"/>
        <w:outlineLvl w:val="0"/>
        <w:rPr>
          <w:rFonts w:hint="eastAsia" w:ascii="楷体_GB2312" w:hAnsi="Calibri" w:eastAsia="楷体_GB2312" w:cs="Times New Roman"/>
          <w:b/>
          <w:color w:val="000000"/>
          <w:sz w:val="28"/>
          <w:szCs w:val="28"/>
        </w:rPr>
      </w:pPr>
      <w:r>
        <w:rPr>
          <w:rFonts w:hint="eastAsia" w:ascii="楷体_GB2312" w:hAnsi="Calibri" w:eastAsia="楷体_GB2312" w:cs="Times New Roman"/>
          <w:b/>
          <w:color w:val="000000"/>
          <w:sz w:val="28"/>
          <w:szCs w:val="28"/>
          <w:lang w:val="en-US" w:eastAsia="zh-CN"/>
        </w:rPr>
        <w:t>2、</w:t>
      </w:r>
      <w:r>
        <w:rPr>
          <w:rFonts w:hint="eastAsia" w:ascii="楷体_GB2312" w:hAnsi="Calibri" w:eastAsia="楷体_GB2312" w:cs="Times New Roman"/>
          <w:b/>
          <w:color w:val="000000"/>
          <w:sz w:val="28"/>
          <w:szCs w:val="28"/>
        </w:rPr>
        <w:t>评价指标体系</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sz w:val="32"/>
          <w:szCs w:val="32"/>
        </w:rPr>
      </w:pPr>
      <w:r>
        <w:rPr>
          <w:rFonts w:hint="eastAsia" w:ascii="仿宋_GB2312" w:hAnsi="仿宋_GB2312" w:eastAsia="仿宋_GB2312" w:cs="仿宋_GB2312"/>
          <w:sz w:val="32"/>
          <w:szCs w:val="28"/>
        </w:rPr>
        <w:t>根据财政部《预算绩效评价共性指标体系框架》等文化精神及本项目的具体特点，</w:t>
      </w:r>
      <w:r>
        <w:rPr>
          <w:rFonts w:hint="eastAsia" w:ascii="仿宋" w:hAnsi="仿宋" w:eastAsia="仿宋"/>
          <w:sz w:val="32"/>
          <w:szCs w:val="32"/>
        </w:rPr>
        <w:t>确定本次绩效评价指标的整体框架，包括执行率指标（资金落实）、产出</w:t>
      </w:r>
      <w:r>
        <w:rPr>
          <w:rFonts w:hint="eastAsia" w:ascii="仿宋" w:hAnsi="仿宋" w:eastAsia="仿宋"/>
          <w:sz w:val="32"/>
          <w:szCs w:val="32"/>
          <w:lang w:val="en-US" w:eastAsia="zh-CN"/>
        </w:rPr>
        <w:t>指标</w:t>
      </w:r>
      <w:r>
        <w:rPr>
          <w:rFonts w:hint="eastAsia" w:ascii="仿宋" w:hAnsi="仿宋" w:eastAsia="仿宋"/>
          <w:sz w:val="32"/>
          <w:szCs w:val="32"/>
        </w:rPr>
        <w:t>（产出数量、产出质量、产出时效、产出成本）、效益</w:t>
      </w:r>
      <w:r>
        <w:rPr>
          <w:rFonts w:hint="eastAsia" w:ascii="仿宋" w:hAnsi="仿宋" w:eastAsia="仿宋"/>
          <w:sz w:val="32"/>
          <w:szCs w:val="32"/>
          <w:lang w:val="en-US" w:eastAsia="zh-CN"/>
        </w:rPr>
        <w:t>指标</w:t>
      </w:r>
      <w:r>
        <w:rPr>
          <w:rFonts w:hint="eastAsia" w:ascii="仿宋" w:hAnsi="仿宋" w:eastAsia="仿宋"/>
          <w:sz w:val="32"/>
          <w:szCs w:val="32"/>
        </w:rPr>
        <w:t>（经济效益、社会效益、生态效益、可持续影响）、满意度</w:t>
      </w:r>
      <w:r>
        <w:rPr>
          <w:rFonts w:hint="eastAsia" w:ascii="仿宋" w:hAnsi="仿宋" w:eastAsia="仿宋"/>
          <w:sz w:val="32"/>
          <w:szCs w:val="32"/>
          <w:lang w:val="en-US" w:eastAsia="zh-CN"/>
        </w:rPr>
        <w:t>指标</w:t>
      </w:r>
      <w:r>
        <w:rPr>
          <w:rFonts w:hint="eastAsia" w:ascii="仿宋" w:hAnsi="仿宋" w:eastAsia="仿宋"/>
          <w:sz w:val="32"/>
          <w:szCs w:val="32"/>
        </w:rPr>
        <w:t>（社会公众或服务对象满意度）。具体见下表：</w:t>
      </w: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tbl>
      <w:tblPr>
        <w:tblStyle w:val="13"/>
        <w:tblW w:w="436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
        <w:gridCol w:w="1098"/>
        <w:gridCol w:w="1320"/>
        <w:gridCol w:w="778"/>
        <w:gridCol w:w="4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blHeader/>
          <w:jc w:val="center"/>
        </w:trPr>
        <w:tc>
          <w:tcPr>
            <w:tcW w:w="536" w:type="pct"/>
            <w:shd w:val="clear" w:color="auto" w:fill="FFFFFF"/>
            <w:noWrap w:val="0"/>
            <w:vAlign w:val="center"/>
          </w:tcPr>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一级</w:t>
            </w:r>
          </w:p>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指标</w:t>
            </w:r>
          </w:p>
        </w:tc>
        <w:tc>
          <w:tcPr>
            <w:tcW w:w="638" w:type="pct"/>
            <w:shd w:val="clear" w:color="auto" w:fill="FFFFFF"/>
            <w:noWrap w:val="0"/>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二级指标</w:t>
            </w:r>
          </w:p>
        </w:tc>
        <w:tc>
          <w:tcPr>
            <w:tcW w:w="767" w:type="pct"/>
            <w:shd w:val="clear" w:color="auto" w:fill="FFFFFF"/>
            <w:noWrap w:val="0"/>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三级指标</w:t>
            </w:r>
          </w:p>
        </w:tc>
        <w:tc>
          <w:tcPr>
            <w:tcW w:w="452" w:type="pct"/>
            <w:shd w:val="clear" w:color="auto" w:fill="FFFFFF"/>
            <w:noWrap w:val="0"/>
            <w:vAlign w:val="center"/>
          </w:tcPr>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分值权重</w:t>
            </w:r>
          </w:p>
        </w:tc>
        <w:tc>
          <w:tcPr>
            <w:tcW w:w="2606" w:type="pct"/>
            <w:shd w:val="clear" w:color="auto" w:fill="FFFFFF"/>
            <w:noWrap w:val="0"/>
            <w:vAlign w:val="center"/>
          </w:tcPr>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5" w:hRule="atLeast"/>
          <w:jc w:val="center"/>
        </w:trPr>
        <w:tc>
          <w:tcPr>
            <w:tcW w:w="536" w:type="pct"/>
            <w:vMerge w:val="restar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rPr>
              <w:t>决</w:t>
            </w:r>
            <w:r>
              <w:rPr>
                <w:rFonts w:hint="eastAsia" w:ascii="黑体" w:hAnsi="宋体" w:eastAsia="黑体" w:cs="宋体"/>
                <w:color w:val="000000"/>
                <w:kern w:val="0"/>
                <w:sz w:val="20"/>
                <w:lang w:val="en-US" w:eastAsia="zh-CN"/>
              </w:rPr>
              <w:t>策</w:t>
            </w:r>
          </w:p>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lang w:val="en-US" w:eastAsia="zh-CN"/>
              </w:rPr>
              <w:t>（15分）</w:t>
            </w:r>
          </w:p>
          <w:p>
            <w:pPr>
              <w:widowControl/>
              <w:spacing w:line="240" w:lineRule="exact"/>
              <w:jc w:val="center"/>
              <w:rPr>
                <w:rFonts w:hint="eastAsia" w:ascii="黑体" w:hAnsi="宋体" w:eastAsia="黑体" w:cs="宋体"/>
                <w:color w:val="000000"/>
                <w:kern w:val="0"/>
                <w:sz w:val="20"/>
              </w:rPr>
            </w:pPr>
          </w:p>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rPr>
              <w:t>　</w:t>
            </w:r>
          </w:p>
        </w:tc>
        <w:tc>
          <w:tcPr>
            <w:tcW w:w="638" w:type="pct"/>
            <w:vMerge w:val="restart"/>
            <w:shd w:val="clear" w:color="auto" w:fill="FFFFFF"/>
            <w:noWrap w:val="0"/>
            <w:vAlign w:val="center"/>
          </w:tcPr>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rPr>
              <w:t>项目立项</w:t>
            </w: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lang w:val="en-US" w:eastAsia="zh-CN"/>
              </w:rPr>
              <w:t>5分</w:t>
            </w: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rPr>
              <w:t>　</w:t>
            </w:r>
          </w:p>
        </w:tc>
        <w:tc>
          <w:tcPr>
            <w:tcW w:w="767"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立项依据充分性</w:t>
            </w:r>
          </w:p>
        </w:tc>
        <w:tc>
          <w:tcPr>
            <w:tcW w:w="452" w:type="pct"/>
            <w:shd w:val="clear" w:color="auto"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2.5</w:t>
            </w:r>
          </w:p>
        </w:tc>
        <w:tc>
          <w:tcPr>
            <w:tcW w:w="2606"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1、项目立项是否符合国家法律法规、国民经济发展规划和相关政策（0.5分）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2、项目立项是否符合行业发展规划和政策要求（0.5分）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3、项目立项是否与部门职责范围相符，属于部门履职所需（0.5分）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4、项目是否属于公共财政支持范围，是否符合中央、地方事权支出责任划分原则（0.5分）</w:t>
            </w:r>
            <w:r>
              <w:rPr>
                <w:rFonts w:hint="eastAsia" w:ascii="黑体" w:hAnsi="宋体" w:eastAsia="黑体" w:cs="宋体"/>
                <w:color w:val="000000"/>
                <w:kern w:val="0"/>
                <w:sz w:val="20"/>
                <w:lang w:val="en-US" w:eastAsia="zh-CN"/>
              </w:rPr>
              <w:br w:type="textWrapping"/>
            </w:r>
            <w:r>
              <w:rPr>
                <w:rFonts w:hint="eastAsia" w:ascii="黑体" w:hAnsi="宋体" w:eastAsia="黑体" w:cs="宋体"/>
                <w:color w:val="000000"/>
                <w:kern w:val="0"/>
                <w:sz w:val="20"/>
                <w:lang w:val="en-US" w:eastAsia="zh-CN"/>
              </w:rPr>
              <w:t>5、项目是否与相关部门同类项目或部门内部相关项目重复（0.5分）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638"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67"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立项程序规范性</w:t>
            </w:r>
          </w:p>
        </w:tc>
        <w:tc>
          <w:tcPr>
            <w:tcW w:w="452" w:type="pct"/>
            <w:shd w:val="clear" w:color="auto"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2.5</w:t>
            </w:r>
          </w:p>
        </w:tc>
        <w:tc>
          <w:tcPr>
            <w:tcW w:w="2606"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1、项目是否按照规定的程序申请设立（0.8分）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2、审批文件、材料是否符合相关要求（0.8分）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3、事前是否已经过必要的可行性研究、专家论证、风险评估、绩效评估、集体决策（0.9分）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638" w:type="pct"/>
            <w:vMerge w:val="restart"/>
            <w:shd w:val="clear" w:color="auto" w:fill="FFFFFF"/>
            <w:noWrap w:val="0"/>
            <w:vAlign w:val="center"/>
          </w:tcPr>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rPr>
              <w:t>绩效目标</w:t>
            </w: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lang w:val="en-US" w:eastAsia="zh-CN"/>
              </w:rPr>
              <w:t>5分</w:t>
            </w: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rPr>
              <w:t>　</w:t>
            </w:r>
          </w:p>
          <w:p>
            <w:pPr>
              <w:widowControl/>
              <w:spacing w:line="240" w:lineRule="exact"/>
              <w:jc w:val="center"/>
              <w:rPr>
                <w:rFonts w:hint="eastAsia" w:ascii="黑体" w:hAnsi="宋体" w:eastAsia="黑体" w:cs="宋体"/>
                <w:color w:val="000000"/>
                <w:kern w:val="0"/>
                <w:sz w:val="20"/>
              </w:rPr>
            </w:pPr>
          </w:p>
        </w:tc>
        <w:tc>
          <w:tcPr>
            <w:tcW w:w="767"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绩效目标合理性</w:t>
            </w:r>
          </w:p>
        </w:tc>
        <w:tc>
          <w:tcPr>
            <w:tcW w:w="452" w:type="pct"/>
            <w:shd w:val="clear" w:color="000000"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2.5</w:t>
            </w:r>
          </w:p>
        </w:tc>
        <w:tc>
          <w:tcPr>
            <w:tcW w:w="2606"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1、项目是否有绩效目标（0.6分）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2、项目绩效目标与实际工作内容是否具有相关性（0.6分）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3、项目预期产出效益和效果是否符合正常的业绩水平（0.6分）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4、是否与预算确定的项目投资额或资金量相匹配（0.7分）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638"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67"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绩效指标明确性</w:t>
            </w:r>
          </w:p>
        </w:tc>
        <w:tc>
          <w:tcPr>
            <w:tcW w:w="452" w:type="pct"/>
            <w:shd w:val="clear" w:color="000000"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2.5</w:t>
            </w:r>
          </w:p>
        </w:tc>
        <w:tc>
          <w:tcPr>
            <w:tcW w:w="2606"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1、是否将项目绩效目标细化分解为具体的绩效指标（0.8分）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2、是否通过清晰、可衡量的指标值予以体现（0.8分）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3、是否与项目目标任务数或计划数相对应（0.8分）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638" w:type="pct"/>
            <w:vMerge w:val="restart"/>
            <w:shd w:val="clear" w:color="auto" w:fill="FFFFFF"/>
            <w:noWrap w:val="0"/>
            <w:vAlign w:val="center"/>
          </w:tcPr>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rPr>
              <w:t>资金投入</w:t>
            </w: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lang w:val="en-US" w:eastAsia="zh-CN"/>
              </w:rPr>
              <w:t>5分</w:t>
            </w:r>
            <w:r>
              <w:rPr>
                <w:rFonts w:hint="eastAsia" w:ascii="黑体" w:hAnsi="宋体" w:eastAsia="黑体" w:cs="宋体"/>
                <w:color w:val="000000"/>
                <w:kern w:val="0"/>
                <w:sz w:val="20"/>
                <w:lang w:eastAsia="zh-CN"/>
              </w:rPr>
              <w:t>）</w:t>
            </w:r>
          </w:p>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rPr>
              <w:t>　</w:t>
            </w:r>
          </w:p>
        </w:tc>
        <w:tc>
          <w:tcPr>
            <w:tcW w:w="767"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预算编制科学性</w:t>
            </w:r>
          </w:p>
        </w:tc>
        <w:tc>
          <w:tcPr>
            <w:tcW w:w="452" w:type="pct"/>
            <w:shd w:val="clear" w:color="auto"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2.5</w:t>
            </w:r>
          </w:p>
        </w:tc>
        <w:tc>
          <w:tcPr>
            <w:tcW w:w="2606"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1、预算编制是否经过科学论证（0.6分）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2、预算内容与项目内容是否匹配（0.7分）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3、预算额度测算依据是否充分，是否按照标准编制（0.6分）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4、预算确定的项目投资额或资金量是否与工作任务相匹配（0.6分）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638"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67"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资金分配合理性</w:t>
            </w:r>
          </w:p>
        </w:tc>
        <w:tc>
          <w:tcPr>
            <w:tcW w:w="452" w:type="pct"/>
            <w:shd w:val="clear" w:color="auto"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2.5</w:t>
            </w:r>
          </w:p>
        </w:tc>
        <w:tc>
          <w:tcPr>
            <w:tcW w:w="2606"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1、预算资金分配依据是否充分（1.25分）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2、资金分配额度是否合理，与项目单位或地方实际是否相适应（1.25分）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536" w:type="pct"/>
            <w:vMerge w:val="restart"/>
            <w:shd w:val="clear" w:color="auto" w:fill="FFFFFF"/>
            <w:noWrap w:val="0"/>
            <w:vAlign w:val="center"/>
          </w:tcPr>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rPr>
              <w:t>过程</w:t>
            </w:r>
          </w:p>
          <w:p>
            <w:pPr>
              <w:widowControl/>
              <w:spacing w:line="240" w:lineRule="exact"/>
              <w:jc w:val="center"/>
              <w:rPr>
                <w:rFonts w:hint="eastAsia" w:ascii="黑体" w:hAnsi="宋体" w:eastAsia="黑体" w:cs="宋体"/>
                <w:color w:val="000000"/>
                <w:kern w:val="0"/>
                <w:sz w:val="20"/>
                <w:lang w:eastAsia="zh-CN"/>
              </w:rPr>
            </w:pPr>
            <w:r>
              <w:rPr>
                <w:rFonts w:hint="eastAsia" w:ascii="黑体" w:hAnsi="宋体" w:eastAsia="黑体" w:cs="宋体"/>
                <w:color w:val="000000"/>
                <w:kern w:val="0"/>
                <w:sz w:val="20"/>
                <w:lang w:val="en-US" w:eastAsia="zh-CN"/>
              </w:rPr>
              <w:t>（15分</w:t>
            </w:r>
            <w:r>
              <w:rPr>
                <w:rFonts w:hint="eastAsia" w:ascii="黑体" w:hAnsi="宋体" w:eastAsia="黑体" w:cs="宋体"/>
                <w:color w:val="000000"/>
                <w:kern w:val="0"/>
                <w:sz w:val="20"/>
                <w:lang w:eastAsia="zh-CN"/>
              </w:rPr>
              <w:t>）</w:t>
            </w:r>
          </w:p>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rPr>
              <w:t>　　</w:t>
            </w:r>
          </w:p>
        </w:tc>
        <w:tc>
          <w:tcPr>
            <w:tcW w:w="638" w:type="pct"/>
            <w:vMerge w:val="restart"/>
            <w:shd w:val="clear" w:color="auto" w:fill="FFFFFF"/>
            <w:noWrap w:val="0"/>
            <w:vAlign w:val="center"/>
          </w:tcPr>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rPr>
              <w:t>资金管理</w:t>
            </w: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lang w:val="en-US" w:eastAsia="zh-CN"/>
              </w:rPr>
              <w:t>10分</w:t>
            </w:r>
            <w:r>
              <w:rPr>
                <w:rFonts w:hint="eastAsia" w:ascii="黑体" w:hAnsi="宋体" w:eastAsia="黑体" w:cs="宋体"/>
                <w:color w:val="000000"/>
                <w:kern w:val="0"/>
                <w:sz w:val="20"/>
                <w:lang w:eastAsia="zh-CN"/>
              </w:rPr>
              <w:t>）</w:t>
            </w:r>
          </w:p>
        </w:tc>
        <w:tc>
          <w:tcPr>
            <w:tcW w:w="767"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资金到位率</w:t>
            </w:r>
          </w:p>
        </w:tc>
        <w:tc>
          <w:tcPr>
            <w:tcW w:w="452" w:type="pct"/>
            <w:shd w:val="clear" w:color="000000"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2.5</w:t>
            </w:r>
          </w:p>
        </w:tc>
        <w:tc>
          <w:tcPr>
            <w:tcW w:w="2606"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资金到位率=（实际到位资金/预算资金）×100%。（2.5分）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638"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67"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预算执行率</w:t>
            </w:r>
          </w:p>
        </w:tc>
        <w:tc>
          <w:tcPr>
            <w:tcW w:w="452" w:type="pct"/>
            <w:shd w:val="clear" w:color="auto"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2.5</w:t>
            </w:r>
          </w:p>
        </w:tc>
        <w:tc>
          <w:tcPr>
            <w:tcW w:w="2606"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预算执行率=（实际支出资金/实际到位资金）×100%。（2.5分）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638"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67"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资金使用合规性</w:t>
            </w:r>
          </w:p>
        </w:tc>
        <w:tc>
          <w:tcPr>
            <w:tcW w:w="452"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5</w:t>
            </w:r>
          </w:p>
        </w:tc>
        <w:tc>
          <w:tcPr>
            <w:tcW w:w="2606"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1、是否符合国家财经法规和财务管理制度以及有关专项资金管理办法的规定（1.25分）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2、资金的拨付是否有完整的审批程序和手续（1.25分）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3、是否符合项目预算批复或合同规定的用途（1.25分）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4、是否存在截留、挤占、挪用、虚列支出等情况。（1.25分）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638" w:type="pct"/>
            <w:vMerge w:val="restart"/>
            <w:shd w:val="clear" w:color="auto" w:fill="FFFFFF"/>
            <w:noWrap w:val="0"/>
            <w:vAlign w:val="center"/>
          </w:tcPr>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rPr>
              <w:t>组织实施</w:t>
            </w: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lang w:val="en-US" w:eastAsia="zh-CN"/>
              </w:rPr>
              <w:t>5分</w:t>
            </w:r>
            <w:r>
              <w:rPr>
                <w:rFonts w:hint="eastAsia" w:ascii="黑体" w:hAnsi="宋体" w:eastAsia="黑体" w:cs="宋体"/>
                <w:color w:val="000000"/>
                <w:kern w:val="0"/>
                <w:sz w:val="20"/>
                <w:lang w:eastAsia="zh-CN"/>
              </w:rPr>
              <w:t>）</w:t>
            </w:r>
          </w:p>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rPr>
              <w:t>　</w:t>
            </w:r>
          </w:p>
        </w:tc>
        <w:tc>
          <w:tcPr>
            <w:tcW w:w="767"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管理制度健全性</w:t>
            </w:r>
          </w:p>
        </w:tc>
        <w:tc>
          <w:tcPr>
            <w:tcW w:w="452" w:type="pct"/>
            <w:shd w:val="clear" w:color="000000"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2.5</w:t>
            </w:r>
          </w:p>
        </w:tc>
        <w:tc>
          <w:tcPr>
            <w:tcW w:w="2606"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1、是否已制定或具有相应的财务和业务管理制度（1.25分）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2、财务和业务管理制度是否合法、合规、完整（1.25分）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638"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67"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制度执行有效性</w:t>
            </w:r>
          </w:p>
        </w:tc>
        <w:tc>
          <w:tcPr>
            <w:tcW w:w="452" w:type="pct"/>
            <w:shd w:val="clear" w:color="000000"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2.5</w:t>
            </w:r>
          </w:p>
        </w:tc>
        <w:tc>
          <w:tcPr>
            <w:tcW w:w="2606"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1、是否遵守相关法律法规和相关管理规定（0.6分）2、项目调整及支出调整手续是否完备（0.6分）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3、项目合同书、验收报告、技术鉴定等资料是否齐全并及时归档（0.6分）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4、项目实施的人员条件、场地设备、信息支撑等是否落实到位（0.7分）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536" w:type="pct"/>
            <w:vMerge w:val="restart"/>
            <w:shd w:val="clear" w:color="auto" w:fill="FFFFFF"/>
            <w:noWrap w:val="0"/>
            <w:vAlign w:val="center"/>
          </w:tcPr>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rPr>
              <w:t>产出</w:t>
            </w:r>
          </w:p>
          <w:p>
            <w:pPr>
              <w:widowControl/>
              <w:spacing w:line="240" w:lineRule="exact"/>
              <w:jc w:val="center"/>
              <w:rPr>
                <w:rFonts w:hint="eastAsia" w:ascii="黑体" w:hAnsi="宋体" w:eastAsia="黑体" w:cs="宋体"/>
                <w:color w:val="000000"/>
                <w:kern w:val="0"/>
                <w:sz w:val="20"/>
                <w:lang w:eastAsia="zh-CN"/>
              </w:rPr>
            </w:pP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lang w:val="en-US" w:eastAsia="zh-CN"/>
              </w:rPr>
              <w:t>35分</w:t>
            </w:r>
            <w:r>
              <w:rPr>
                <w:rFonts w:hint="eastAsia" w:ascii="黑体" w:hAnsi="宋体" w:eastAsia="黑体" w:cs="宋体"/>
                <w:color w:val="000000"/>
                <w:kern w:val="0"/>
                <w:sz w:val="20"/>
                <w:lang w:eastAsia="zh-CN"/>
              </w:rPr>
              <w:t>）</w:t>
            </w:r>
          </w:p>
        </w:tc>
        <w:tc>
          <w:tcPr>
            <w:tcW w:w="638" w:type="pct"/>
            <w:vMerge w:val="restart"/>
            <w:shd w:val="clear" w:color="auto" w:fill="FFFFFF"/>
            <w:noWrap w:val="0"/>
            <w:vAlign w:val="center"/>
          </w:tcPr>
          <w:p>
            <w:pPr>
              <w:widowControl/>
              <w:spacing w:line="240" w:lineRule="exact"/>
              <w:jc w:val="center"/>
              <w:rPr>
                <w:rFonts w:hint="eastAsia" w:ascii="黑体" w:hAnsi="宋体" w:eastAsia="黑体" w:cs="宋体"/>
                <w:color w:val="000000"/>
                <w:kern w:val="0"/>
                <w:sz w:val="20"/>
                <w:lang w:eastAsia="zh-CN"/>
              </w:rPr>
            </w:pPr>
            <w:r>
              <w:rPr>
                <w:rFonts w:hint="eastAsia" w:ascii="黑体" w:hAnsi="宋体" w:eastAsia="黑体" w:cs="宋体"/>
                <w:color w:val="000000"/>
                <w:kern w:val="0"/>
                <w:sz w:val="20"/>
              </w:rPr>
              <w:t>产出数量</w:t>
            </w: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lang w:val="en-US" w:eastAsia="zh-CN"/>
              </w:rPr>
              <w:t>10分</w:t>
            </w:r>
            <w:r>
              <w:rPr>
                <w:rFonts w:hint="eastAsia" w:ascii="黑体" w:hAnsi="宋体" w:eastAsia="黑体" w:cs="宋体"/>
                <w:color w:val="000000"/>
                <w:kern w:val="0"/>
                <w:sz w:val="20"/>
                <w:lang w:eastAsia="zh-CN"/>
              </w:rPr>
              <w:t>）</w:t>
            </w:r>
          </w:p>
        </w:tc>
        <w:tc>
          <w:tcPr>
            <w:tcW w:w="767" w:type="pct"/>
            <w:shd w:val="clear" w:color="auto" w:fill="FFFFFF"/>
            <w:noWrap w:val="0"/>
            <w:vAlign w:val="center"/>
          </w:tcPr>
          <w:p>
            <w:pPr>
              <w:widowControl/>
              <w:spacing w:line="240" w:lineRule="exact"/>
              <w:ind w:left="-63" w:leftChars="-30" w:right="-63" w:rightChars="-30"/>
              <w:jc w:val="center"/>
              <w:rPr>
                <w:rFonts w:hint="default"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文旅宣传推广工作12项</w:t>
            </w:r>
          </w:p>
        </w:tc>
        <w:tc>
          <w:tcPr>
            <w:tcW w:w="452" w:type="pct"/>
            <w:shd w:val="clear" w:color="000000" w:fill="FFFFFF"/>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w:t>
            </w:r>
          </w:p>
        </w:tc>
        <w:tc>
          <w:tcPr>
            <w:tcW w:w="2606"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实际完成率=（实际产出数/计划产出数）×100%。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638"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67"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文旅政策兑现奖励10项</w:t>
            </w:r>
          </w:p>
        </w:tc>
        <w:tc>
          <w:tcPr>
            <w:tcW w:w="452" w:type="pct"/>
            <w:shd w:val="clear" w:color="000000" w:fill="FFFFFF"/>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w:t>
            </w:r>
          </w:p>
        </w:tc>
        <w:tc>
          <w:tcPr>
            <w:tcW w:w="2606"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实际完成率=（实际产出数/计划产出数）×100%。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638"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67"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 xml:space="preserve">文旅公共服务及活动 </w:t>
            </w:r>
          </w:p>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10项</w:t>
            </w:r>
          </w:p>
        </w:tc>
        <w:tc>
          <w:tcPr>
            <w:tcW w:w="452" w:type="pct"/>
            <w:shd w:val="clear" w:color="000000" w:fill="FFFFFF"/>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w:t>
            </w:r>
          </w:p>
        </w:tc>
        <w:tc>
          <w:tcPr>
            <w:tcW w:w="2606"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实际完成率=（实际产出数/计划产出数）×100%。</w:t>
            </w:r>
          </w:p>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638"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67"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建党100周年活动3类</w:t>
            </w:r>
          </w:p>
        </w:tc>
        <w:tc>
          <w:tcPr>
            <w:tcW w:w="452" w:type="pct"/>
            <w:shd w:val="clear" w:color="000000" w:fill="FFFFFF"/>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w:t>
            </w:r>
          </w:p>
        </w:tc>
        <w:tc>
          <w:tcPr>
            <w:tcW w:w="2606"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实际完成率=（实际产出数/计划产出数）×100%。</w:t>
            </w:r>
          </w:p>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638"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67"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文旅公共服务设施建设 5项</w:t>
            </w:r>
          </w:p>
        </w:tc>
        <w:tc>
          <w:tcPr>
            <w:tcW w:w="452" w:type="pct"/>
            <w:shd w:val="clear" w:color="000000" w:fill="FFFFFF"/>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w:t>
            </w:r>
          </w:p>
        </w:tc>
        <w:tc>
          <w:tcPr>
            <w:tcW w:w="2606"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实际完成率=（实际产出数/计划产出数）×100%。</w:t>
            </w:r>
          </w:p>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638"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67"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文物保护与利用工作3项</w:t>
            </w:r>
          </w:p>
        </w:tc>
        <w:tc>
          <w:tcPr>
            <w:tcW w:w="452"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w:t>
            </w:r>
          </w:p>
        </w:tc>
        <w:tc>
          <w:tcPr>
            <w:tcW w:w="2606"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实际完成率=（实际产出数/计划产出数）×100%。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638"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67"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优秀艺术作品创作5个</w:t>
            </w:r>
          </w:p>
        </w:tc>
        <w:tc>
          <w:tcPr>
            <w:tcW w:w="452"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0.5</w:t>
            </w:r>
          </w:p>
        </w:tc>
        <w:tc>
          <w:tcPr>
            <w:tcW w:w="2606"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实际完成率=（实际产出数/计划产出数）×100%。</w:t>
            </w:r>
          </w:p>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638"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67"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文旅行业人才培训2期</w:t>
            </w:r>
          </w:p>
        </w:tc>
        <w:tc>
          <w:tcPr>
            <w:tcW w:w="452"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0.5</w:t>
            </w:r>
          </w:p>
        </w:tc>
        <w:tc>
          <w:tcPr>
            <w:tcW w:w="2606"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实际完成率=（实际产出数/计划产出数）×100%。</w:t>
            </w:r>
          </w:p>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638"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67"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黑体" w:eastAsia="黑体" w:cs="黑体"/>
                <w:color w:val="000000"/>
                <w:kern w:val="0"/>
                <w:sz w:val="20"/>
                <w:lang w:val="en-US" w:eastAsia="zh-CN"/>
              </w:rPr>
              <w:t>全市现场抽样调查样本8000份</w:t>
            </w:r>
          </w:p>
        </w:tc>
        <w:tc>
          <w:tcPr>
            <w:tcW w:w="452"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0.5</w:t>
            </w:r>
          </w:p>
        </w:tc>
        <w:tc>
          <w:tcPr>
            <w:tcW w:w="2606"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实际完成率=（实际产出数/计划产出数）×100%。</w:t>
            </w:r>
          </w:p>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638"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67"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kern w:val="0"/>
                <w:szCs w:val="21"/>
                <w:lang w:val="en-US" w:eastAsia="zh-CN"/>
              </w:rPr>
              <w:t>形成调研报告3阶段</w:t>
            </w:r>
          </w:p>
        </w:tc>
        <w:tc>
          <w:tcPr>
            <w:tcW w:w="452"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0.5</w:t>
            </w:r>
          </w:p>
        </w:tc>
        <w:tc>
          <w:tcPr>
            <w:tcW w:w="2606"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实际完成率=（实际产出数/计划产出数）×100%。</w:t>
            </w:r>
          </w:p>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638"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67"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购买导游卡1200套</w:t>
            </w:r>
          </w:p>
        </w:tc>
        <w:tc>
          <w:tcPr>
            <w:tcW w:w="452"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0.5</w:t>
            </w:r>
          </w:p>
        </w:tc>
        <w:tc>
          <w:tcPr>
            <w:tcW w:w="2606"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实际完成率=（实际产出数/计划产出数）×100%。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638"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67"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黑体" w:eastAsia="黑体" w:cs="黑体"/>
                <w:color w:val="000000"/>
                <w:kern w:val="0"/>
                <w:sz w:val="20"/>
              </w:rPr>
              <w:t>开展自媒体宣传项目1次</w:t>
            </w:r>
          </w:p>
        </w:tc>
        <w:tc>
          <w:tcPr>
            <w:tcW w:w="452"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0.5</w:t>
            </w:r>
          </w:p>
        </w:tc>
        <w:tc>
          <w:tcPr>
            <w:tcW w:w="2606"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实际完成率=（实际产出数/计划产出数）×100%。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638"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67"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szCs w:val="22"/>
                <w:lang w:val="en-US" w:eastAsia="zh-CN"/>
              </w:rPr>
              <w:t>建设智慧文旅指挥调度监测系统二期一项</w:t>
            </w:r>
          </w:p>
        </w:tc>
        <w:tc>
          <w:tcPr>
            <w:tcW w:w="452"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0.5</w:t>
            </w:r>
          </w:p>
        </w:tc>
        <w:tc>
          <w:tcPr>
            <w:tcW w:w="2606"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实际完成率=（实际产出数/计划产出数）×100%。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638"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67"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送戏下乡资金支付完成率</w:t>
            </w:r>
          </w:p>
        </w:tc>
        <w:tc>
          <w:tcPr>
            <w:tcW w:w="452"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0.5</w:t>
            </w:r>
          </w:p>
        </w:tc>
        <w:tc>
          <w:tcPr>
            <w:tcW w:w="2606"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实际完成率=（实际产出数/计划产出数）×100%。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638" w:type="pct"/>
            <w:vMerge w:val="restart"/>
            <w:shd w:val="clear" w:color="auto" w:fill="FFFFFF"/>
            <w:noWrap w:val="0"/>
            <w:vAlign w:val="center"/>
          </w:tcPr>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rPr>
              <w:t>产出质量</w:t>
            </w: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lang w:val="en-US" w:eastAsia="zh-CN"/>
              </w:rPr>
              <w:t>10分</w:t>
            </w:r>
            <w:r>
              <w:rPr>
                <w:rFonts w:hint="eastAsia" w:ascii="黑体" w:hAnsi="宋体" w:eastAsia="黑体" w:cs="宋体"/>
                <w:color w:val="000000"/>
                <w:kern w:val="0"/>
                <w:sz w:val="20"/>
                <w:lang w:eastAsia="zh-CN"/>
              </w:rPr>
              <w:t>）</w:t>
            </w:r>
          </w:p>
        </w:tc>
        <w:tc>
          <w:tcPr>
            <w:tcW w:w="767" w:type="pct"/>
            <w:shd w:val="clear" w:color="auto" w:fill="FFFFFF"/>
            <w:noWrap w:val="0"/>
            <w:vAlign w:val="center"/>
          </w:tcPr>
          <w:p>
            <w:pPr>
              <w:widowControl/>
              <w:spacing w:line="240" w:lineRule="exact"/>
              <w:ind w:left="-63" w:leftChars="-30" w:right="-63" w:rightChars="-30"/>
              <w:jc w:val="center"/>
              <w:rPr>
                <w:rFonts w:hint="default"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文旅宣传推广招投标合规率</w:t>
            </w:r>
          </w:p>
        </w:tc>
        <w:tc>
          <w:tcPr>
            <w:tcW w:w="452" w:type="pct"/>
            <w:shd w:val="clear" w:color="000000" w:fill="FFFFFF"/>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w:t>
            </w:r>
          </w:p>
        </w:tc>
        <w:tc>
          <w:tcPr>
            <w:tcW w:w="2606"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质量达标率=（质量达标产出数/实际产出数）×100%。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638"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67"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文旅政策奖励兑现符合标准率</w:t>
            </w:r>
          </w:p>
        </w:tc>
        <w:tc>
          <w:tcPr>
            <w:tcW w:w="452" w:type="pct"/>
            <w:shd w:val="clear" w:color="000000" w:fill="FFFFFF"/>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w:t>
            </w:r>
          </w:p>
        </w:tc>
        <w:tc>
          <w:tcPr>
            <w:tcW w:w="2606"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质量达标率=（质量达标产出数/实际产出数）×100%。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638"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67"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文旅公共服务演出活动上座率</w:t>
            </w:r>
          </w:p>
        </w:tc>
        <w:tc>
          <w:tcPr>
            <w:tcW w:w="452"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w:t>
            </w:r>
          </w:p>
        </w:tc>
        <w:tc>
          <w:tcPr>
            <w:tcW w:w="2606"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质量达标率=（质量达标产出数/实际产出数）×100%。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638"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67"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建党100周年活动观众上座率</w:t>
            </w:r>
          </w:p>
        </w:tc>
        <w:tc>
          <w:tcPr>
            <w:tcW w:w="452"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w:t>
            </w:r>
          </w:p>
        </w:tc>
        <w:tc>
          <w:tcPr>
            <w:tcW w:w="2606"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质量达标率=（质量达标产出数/实际产出数）×100%。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638"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67"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文旅公共服务设施建设验收合格率</w:t>
            </w:r>
          </w:p>
        </w:tc>
        <w:tc>
          <w:tcPr>
            <w:tcW w:w="452"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w:t>
            </w:r>
          </w:p>
        </w:tc>
        <w:tc>
          <w:tcPr>
            <w:tcW w:w="2606"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质量达标率=（质量达标产出数/实际产出数）×100%。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638"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67"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文物保护与利用合格率</w:t>
            </w:r>
          </w:p>
        </w:tc>
        <w:tc>
          <w:tcPr>
            <w:tcW w:w="452"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w:t>
            </w:r>
          </w:p>
        </w:tc>
        <w:tc>
          <w:tcPr>
            <w:tcW w:w="2606"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质量达标率=（质量达标产出数/实际产出数）×100%。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638"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67"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优秀艺术作品创作演出成功率</w:t>
            </w:r>
          </w:p>
        </w:tc>
        <w:tc>
          <w:tcPr>
            <w:tcW w:w="452"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0.5</w:t>
            </w:r>
          </w:p>
        </w:tc>
        <w:tc>
          <w:tcPr>
            <w:tcW w:w="2606"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质量达标率=（质量达标产出数/实际产出数）×100%。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638"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67"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szCs w:val="22"/>
                <w:lang w:val="en-US" w:eastAsia="zh-CN" w:bidi="ar-SA"/>
              </w:rPr>
              <w:t>培训合格率</w:t>
            </w:r>
          </w:p>
        </w:tc>
        <w:tc>
          <w:tcPr>
            <w:tcW w:w="452"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0.5</w:t>
            </w:r>
          </w:p>
        </w:tc>
        <w:tc>
          <w:tcPr>
            <w:tcW w:w="2606"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质量达标率=（质量达标产出数/实际产出数）×100%。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638"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67"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黑体" w:eastAsia="黑体" w:cs="黑体"/>
                <w:color w:val="000000"/>
                <w:kern w:val="0"/>
                <w:sz w:val="20"/>
                <w:lang w:val="en-US" w:eastAsia="zh-CN"/>
              </w:rPr>
              <w:t>调查样本有效率</w:t>
            </w:r>
          </w:p>
        </w:tc>
        <w:tc>
          <w:tcPr>
            <w:tcW w:w="452" w:type="pct"/>
            <w:shd w:val="clear" w:color="000000" w:fill="FFFFFF"/>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0.5</w:t>
            </w:r>
          </w:p>
        </w:tc>
        <w:tc>
          <w:tcPr>
            <w:tcW w:w="2606"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质量达标率=（质量达标产出数/实际产出数）×100%。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638"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67"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kern w:val="0"/>
                <w:szCs w:val="21"/>
                <w:lang w:val="en-US" w:eastAsia="zh-CN"/>
              </w:rPr>
              <w:t>调研报告合格率</w:t>
            </w:r>
          </w:p>
        </w:tc>
        <w:tc>
          <w:tcPr>
            <w:tcW w:w="452"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0.5</w:t>
            </w:r>
          </w:p>
        </w:tc>
        <w:tc>
          <w:tcPr>
            <w:tcW w:w="2606"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质量达标率=（质量达标产出数/实际产出数）×100%。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638"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67"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szCs w:val="22"/>
                <w:lang w:val="en-US" w:eastAsia="zh-CN"/>
              </w:rPr>
              <w:t>导游员换证合格率</w:t>
            </w:r>
          </w:p>
        </w:tc>
        <w:tc>
          <w:tcPr>
            <w:tcW w:w="452"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0.5</w:t>
            </w:r>
          </w:p>
        </w:tc>
        <w:tc>
          <w:tcPr>
            <w:tcW w:w="2606"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质量达标率=（质量达标产出数/实际产出数）×100%。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638"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67"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黑体" w:eastAsia="黑体" w:cs="黑体"/>
                <w:color w:val="000000"/>
                <w:kern w:val="0"/>
                <w:sz w:val="20"/>
              </w:rPr>
              <w:t>自媒体宣传</w:t>
            </w:r>
            <w:r>
              <w:rPr>
                <w:rFonts w:hint="eastAsia" w:ascii="黑体" w:hAnsi="黑体" w:eastAsia="黑体" w:cs="黑体"/>
                <w:color w:val="000000"/>
                <w:kern w:val="0"/>
                <w:sz w:val="20"/>
                <w:lang w:val="en-US" w:eastAsia="zh-CN"/>
              </w:rPr>
              <w:t>政府采购率</w:t>
            </w:r>
          </w:p>
        </w:tc>
        <w:tc>
          <w:tcPr>
            <w:tcW w:w="452" w:type="pct"/>
            <w:shd w:val="clear" w:color="000000" w:fill="FFFFFF"/>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0.5</w:t>
            </w:r>
          </w:p>
        </w:tc>
        <w:tc>
          <w:tcPr>
            <w:tcW w:w="2606"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质量达标率=（质量达标产出数/实际产出数）×100%。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638"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67"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szCs w:val="22"/>
                <w:lang w:val="en-US" w:eastAsia="zh-CN"/>
              </w:rPr>
              <w:t>建设智慧文旅指挥调度监测系统二期系统运行稳定率</w:t>
            </w:r>
          </w:p>
        </w:tc>
        <w:tc>
          <w:tcPr>
            <w:tcW w:w="452" w:type="pct"/>
            <w:shd w:val="clear" w:color="000000" w:fill="FFFFFF"/>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0.5</w:t>
            </w:r>
          </w:p>
        </w:tc>
        <w:tc>
          <w:tcPr>
            <w:tcW w:w="2606"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质量达标率=（质量达标产出数/实际产出数）×100%。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638"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67"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送戏下乡资金支付和合同完成</w:t>
            </w:r>
          </w:p>
        </w:tc>
        <w:tc>
          <w:tcPr>
            <w:tcW w:w="452" w:type="pct"/>
            <w:shd w:val="clear" w:color="000000" w:fill="FFFFFF"/>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0.5</w:t>
            </w:r>
          </w:p>
        </w:tc>
        <w:tc>
          <w:tcPr>
            <w:tcW w:w="2606"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质量达标率=（质量达标产出数/实际产出数）×100%。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638"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eastAsia="zh-CN"/>
              </w:rPr>
            </w:pPr>
            <w:r>
              <w:rPr>
                <w:rFonts w:hint="eastAsia" w:ascii="黑体" w:hAnsi="宋体" w:eastAsia="黑体" w:cs="宋体"/>
                <w:color w:val="000000"/>
                <w:kern w:val="0"/>
                <w:sz w:val="20"/>
              </w:rPr>
              <w:t>产出时效</w:t>
            </w: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lang w:val="en-US" w:eastAsia="zh-CN"/>
              </w:rPr>
              <w:t>5分</w:t>
            </w:r>
            <w:r>
              <w:rPr>
                <w:rFonts w:hint="eastAsia" w:ascii="黑体" w:hAnsi="宋体" w:eastAsia="黑体" w:cs="宋体"/>
                <w:color w:val="000000"/>
                <w:kern w:val="0"/>
                <w:sz w:val="20"/>
                <w:lang w:eastAsia="zh-CN"/>
              </w:rPr>
              <w:t>）</w:t>
            </w:r>
          </w:p>
        </w:tc>
        <w:tc>
          <w:tcPr>
            <w:tcW w:w="767" w:type="pct"/>
            <w:shd w:val="clear" w:color="auto"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工作完成及时率</w:t>
            </w:r>
          </w:p>
        </w:tc>
        <w:tc>
          <w:tcPr>
            <w:tcW w:w="452" w:type="pct"/>
            <w:shd w:val="clear" w:color="000000"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5</w:t>
            </w:r>
          </w:p>
        </w:tc>
        <w:tc>
          <w:tcPr>
            <w:tcW w:w="2606"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时效及时率=（时效产出数/实际产出数）×100%。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得分=时效及时率*分值权重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638" w:type="pct"/>
            <w:shd w:val="clear" w:color="auto" w:fill="FFFFFF"/>
            <w:noWrap w:val="0"/>
            <w:vAlign w:val="center"/>
          </w:tcPr>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rPr>
              <w:t>产出成本</w:t>
            </w: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lang w:val="en-US" w:eastAsia="zh-CN"/>
              </w:rPr>
              <w:t>10分</w:t>
            </w:r>
            <w:r>
              <w:rPr>
                <w:rFonts w:hint="eastAsia" w:ascii="黑体" w:hAnsi="宋体" w:eastAsia="黑体" w:cs="宋体"/>
                <w:color w:val="000000"/>
                <w:kern w:val="0"/>
                <w:sz w:val="20"/>
                <w:lang w:eastAsia="zh-CN"/>
              </w:rPr>
              <w:t>）</w:t>
            </w:r>
          </w:p>
        </w:tc>
        <w:tc>
          <w:tcPr>
            <w:tcW w:w="767" w:type="pct"/>
            <w:shd w:val="clear" w:color="auto"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全年资金支付率</w:t>
            </w:r>
          </w:p>
        </w:tc>
        <w:tc>
          <w:tcPr>
            <w:tcW w:w="452" w:type="pct"/>
            <w:shd w:val="clear" w:color="000000"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10</w:t>
            </w:r>
          </w:p>
        </w:tc>
        <w:tc>
          <w:tcPr>
            <w:tcW w:w="2606"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全年资金支付率=（实际支出数/计划数）×100%。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得分=结算率*分支权重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36" w:type="pct"/>
            <w:vMerge w:val="restart"/>
            <w:shd w:val="clear" w:color="auto" w:fill="FFFFFF"/>
            <w:noWrap w:val="0"/>
            <w:vAlign w:val="center"/>
          </w:tcPr>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rPr>
              <w:t>效益</w:t>
            </w:r>
          </w:p>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lang w:val="en-US" w:eastAsia="zh-CN"/>
              </w:rPr>
              <w:t>25分</w:t>
            </w: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rPr>
              <w:t>　</w:t>
            </w:r>
          </w:p>
        </w:tc>
        <w:tc>
          <w:tcPr>
            <w:tcW w:w="638" w:type="pct"/>
            <w:shd w:val="clear" w:color="auto" w:fill="FFFFFF"/>
            <w:noWrap w:val="0"/>
            <w:vAlign w:val="center"/>
          </w:tcPr>
          <w:p>
            <w:pPr>
              <w:widowControl/>
              <w:spacing w:line="240" w:lineRule="exact"/>
              <w:ind w:left="-63" w:leftChars="-30" w:right="-63" w:rightChars="-30"/>
              <w:jc w:val="center"/>
              <w:rPr>
                <w:rFonts w:hint="eastAsia"/>
                <w:lang w:eastAsia="zh-CN"/>
              </w:rPr>
            </w:pPr>
            <w:r>
              <w:rPr>
                <w:rFonts w:hint="eastAsia" w:ascii="黑体" w:hAnsi="宋体" w:eastAsia="黑体" w:cs="宋体"/>
                <w:color w:val="000000"/>
                <w:kern w:val="0"/>
                <w:sz w:val="20"/>
                <w:lang w:val="en-US" w:eastAsia="zh-CN"/>
              </w:rPr>
              <w:t>经济效益</w:t>
            </w:r>
          </w:p>
        </w:tc>
        <w:tc>
          <w:tcPr>
            <w:tcW w:w="767" w:type="pct"/>
            <w:shd w:val="clear" w:color="auto" w:fill="FFFFFF"/>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无</w:t>
            </w:r>
          </w:p>
        </w:tc>
        <w:tc>
          <w:tcPr>
            <w:tcW w:w="452" w:type="pct"/>
            <w:shd w:val="clear" w:color="auto"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p>
        </w:tc>
        <w:tc>
          <w:tcPr>
            <w:tcW w:w="2606"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638" w:type="pct"/>
            <w:vMerge w:val="restart"/>
            <w:shd w:val="clear" w:color="auto" w:fill="FFFFFF"/>
            <w:noWrap w:val="0"/>
            <w:vAlign w:val="center"/>
          </w:tcPr>
          <w:p>
            <w:pPr>
              <w:widowControl/>
              <w:spacing w:line="240" w:lineRule="exact"/>
              <w:jc w:val="center"/>
              <w:rPr>
                <w:rFonts w:hint="eastAsia" w:ascii="黑体" w:hAnsi="宋体" w:eastAsia="黑体" w:cs="宋体"/>
                <w:color w:val="000000"/>
                <w:kern w:val="0"/>
                <w:sz w:val="20"/>
                <w:lang w:eastAsia="zh-CN"/>
              </w:rPr>
            </w:pPr>
            <w:r>
              <w:rPr>
                <w:rFonts w:hint="eastAsia" w:ascii="黑体" w:hAnsi="宋体" w:eastAsia="黑体" w:cs="宋体"/>
                <w:color w:val="000000"/>
                <w:kern w:val="0"/>
                <w:sz w:val="20"/>
              </w:rPr>
              <w:t>社会效益</w:t>
            </w: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lang w:val="en-US" w:eastAsia="zh-CN"/>
              </w:rPr>
              <w:t>8分</w:t>
            </w:r>
            <w:r>
              <w:rPr>
                <w:rFonts w:hint="eastAsia" w:ascii="黑体" w:hAnsi="宋体" w:eastAsia="黑体" w:cs="宋体"/>
                <w:color w:val="000000"/>
                <w:kern w:val="0"/>
                <w:sz w:val="20"/>
                <w:lang w:eastAsia="zh-CN"/>
              </w:rPr>
              <w:t>）</w:t>
            </w:r>
          </w:p>
        </w:tc>
        <w:tc>
          <w:tcPr>
            <w:tcW w:w="767" w:type="pct"/>
            <w:shd w:val="clear" w:color="auto" w:fill="FFFFFF"/>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lang w:val="en-US" w:eastAsia="zh-CN"/>
              </w:rPr>
            </w:pPr>
            <w:r>
              <w:rPr>
                <w:rFonts w:hint="eastAsia" w:ascii="黑体" w:hAnsi="宋体" w:eastAsia="黑体" w:cs="宋体"/>
                <w:color w:val="000000"/>
                <w:kern w:val="0"/>
                <w:sz w:val="20"/>
                <w:lang w:val="en-US" w:eastAsia="zh-CN"/>
              </w:rPr>
              <w:t>提高社会群众对我市文旅发展认知</w:t>
            </w:r>
          </w:p>
        </w:tc>
        <w:tc>
          <w:tcPr>
            <w:tcW w:w="452" w:type="pct"/>
            <w:shd w:val="clear" w:color="auto" w:fill="FFFFFF"/>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w:t>
            </w:r>
          </w:p>
        </w:tc>
        <w:tc>
          <w:tcPr>
            <w:tcW w:w="2606"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638"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lang w:eastAsia="zh-CN"/>
              </w:rPr>
            </w:pPr>
          </w:p>
        </w:tc>
        <w:tc>
          <w:tcPr>
            <w:tcW w:w="767"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提升南昌旅游一卡通的社会影响力，群众知晓率</w:t>
            </w:r>
          </w:p>
        </w:tc>
        <w:tc>
          <w:tcPr>
            <w:tcW w:w="452" w:type="pct"/>
            <w:shd w:val="clear" w:color="auto"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w:t>
            </w:r>
          </w:p>
        </w:tc>
        <w:tc>
          <w:tcPr>
            <w:tcW w:w="2606"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638"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lang w:eastAsia="zh-CN"/>
              </w:rPr>
            </w:pPr>
          </w:p>
        </w:tc>
        <w:tc>
          <w:tcPr>
            <w:tcW w:w="767"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提升藏品展示效果，提高文物安保措施</w:t>
            </w:r>
          </w:p>
        </w:tc>
        <w:tc>
          <w:tcPr>
            <w:tcW w:w="452" w:type="pct"/>
            <w:shd w:val="clear" w:color="auto"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w:t>
            </w:r>
          </w:p>
        </w:tc>
        <w:tc>
          <w:tcPr>
            <w:tcW w:w="2606"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638"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lang w:eastAsia="zh-CN"/>
              </w:rPr>
            </w:pPr>
          </w:p>
        </w:tc>
        <w:tc>
          <w:tcPr>
            <w:tcW w:w="767" w:type="pct"/>
            <w:shd w:val="clear" w:color="auto" w:fill="FFFFFF"/>
            <w:noWrap w:val="0"/>
            <w:vAlign w:val="center"/>
          </w:tcPr>
          <w:p>
            <w:pPr>
              <w:widowControl/>
              <w:spacing w:line="240" w:lineRule="exact"/>
              <w:ind w:left="-63" w:leftChars="-30" w:right="-63" w:rightChars="-30"/>
              <w:jc w:val="center"/>
              <w:rPr>
                <w:rFonts w:hint="default"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南昌城市品牌影响力提升</w:t>
            </w:r>
          </w:p>
        </w:tc>
        <w:tc>
          <w:tcPr>
            <w:tcW w:w="452" w:type="pct"/>
            <w:shd w:val="clear" w:color="auto"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w:t>
            </w:r>
          </w:p>
        </w:tc>
        <w:tc>
          <w:tcPr>
            <w:tcW w:w="2606"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638"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eastAsia="zh-CN"/>
              </w:rPr>
            </w:pPr>
            <w:r>
              <w:rPr>
                <w:rFonts w:hint="eastAsia" w:ascii="黑体" w:hAnsi="宋体" w:eastAsia="黑体" w:cs="宋体"/>
                <w:color w:val="000000"/>
                <w:kern w:val="0"/>
                <w:sz w:val="20"/>
              </w:rPr>
              <w:t>生态效益</w:t>
            </w: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lang w:val="en-US" w:eastAsia="zh-CN"/>
              </w:rPr>
              <w:t>3分</w:t>
            </w:r>
            <w:r>
              <w:rPr>
                <w:rFonts w:hint="eastAsia" w:ascii="黑体" w:hAnsi="宋体" w:eastAsia="黑体" w:cs="宋体"/>
                <w:color w:val="000000"/>
                <w:kern w:val="0"/>
                <w:sz w:val="20"/>
                <w:lang w:eastAsia="zh-CN"/>
              </w:rPr>
              <w:t>）</w:t>
            </w:r>
          </w:p>
        </w:tc>
        <w:tc>
          <w:tcPr>
            <w:tcW w:w="767"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维修维护环保材料采用率</w:t>
            </w:r>
          </w:p>
        </w:tc>
        <w:tc>
          <w:tcPr>
            <w:tcW w:w="452" w:type="pct"/>
            <w:shd w:val="clear" w:color="auto"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3</w:t>
            </w:r>
          </w:p>
        </w:tc>
        <w:tc>
          <w:tcPr>
            <w:tcW w:w="2606"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638" w:type="pct"/>
            <w:vMerge w:val="restart"/>
            <w:shd w:val="clear" w:color="auto" w:fill="FFFFFF"/>
            <w:noWrap w:val="0"/>
            <w:vAlign w:val="center"/>
          </w:tcPr>
          <w:p>
            <w:pPr>
              <w:widowControl/>
              <w:spacing w:line="240" w:lineRule="exact"/>
              <w:jc w:val="center"/>
              <w:rPr>
                <w:rFonts w:hint="eastAsia" w:ascii="黑体" w:hAnsi="宋体" w:eastAsia="黑体" w:cs="宋体"/>
                <w:color w:val="000000"/>
                <w:kern w:val="0"/>
                <w:sz w:val="20"/>
                <w:lang w:eastAsia="zh-CN"/>
              </w:rPr>
            </w:pPr>
            <w:r>
              <w:rPr>
                <w:rFonts w:hint="eastAsia" w:ascii="黑体" w:hAnsi="宋体" w:eastAsia="黑体" w:cs="宋体"/>
                <w:color w:val="000000"/>
                <w:kern w:val="0"/>
                <w:sz w:val="20"/>
              </w:rPr>
              <w:t>可持续效益</w:t>
            </w: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lang w:val="en-US" w:eastAsia="zh-CN"/>
              </w:rPr>
              <w:t>14分</w:t>
            </w:r>
            <w:r>
              <w:rPr>
                <w:rFonts w:hint="eastAsia" w:ascii="黑体" w:hAnsi="宋体" w:eastAsia="黑体" w:cs="宋体"/>
                <w:color w:val="000000"/>
                <w:kern w:val="0"/>
                <w:sz w:val="20"/>
                <w:lang w:eastAsia="zh-CN"/>
              </w:rPr>
              <w:t>）</w:t>
            </w:r>
          </w:p>
        </w:tc>
        <w:tc>
          <w:tcPr>
            <w:tcW w:w="767"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持续提升我市文化旅游产业影响力</w:t>
            </w:r>
          </w:p>
        </w:tc>
        <w:tc>
          <w:tcPr>
            <w:tcW w:w="452" w:type="pct"/>
            <w:shd w:val="clear" w:color="auto"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w:t>
            </w:r>
          </w:p>
        </w:tc>
        <w:tc>
          <w:tcPr>
            <w:tcW w:w="2606"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638"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lang w:eastAsia="zh-CN"/>
              </w:rPr>
            </w:pPr>
          </w:p>
        </w:tc>
        <w:tc>
          <w:tcPr>
            <w:tcW w:w="767"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管理机制健全性</w:t>
            </w:r>
          </w:p>
        </w:tc>
        <w:tc>
          <w:tcPr>
            <w:tcW w:w="452" w:type="pct"/>
            <w:shd w:val="clear" w:color="auto"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w:t>
            </w:r>
          </w:p>
        </w:tc>
        <w:tc>
          <w:tcPr>
            <w:tcW w:w="2606"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638"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lang w:eastAsia="zh-CN"/>
              </w:rPr>
            </w:pPr>
          </w:p>
        </w:tc>
        <w:tc>
          <w:tcPr>
            <w:tcW w:w="767"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保障导游员队伍建设</w:t>
            </w:r>
          </w:p>
        </w:tc>
        <w:tc>
          <w:tcPr>
            <w:tcW w:w="452" w:type="pct"/>
            <w:shd w:val="clear" w:color="auto"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w:t>
            </w:r>
          </w:p>
        </w:tc>
        <w:tc>
          <w:tcPr>
            <w:tcW w:w="2606"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638"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lang w:eastAsia="zh-CN"/>
              </w:rPr>
            </w:pPr>
          </w:p>
        </w:tc>
        <w:tc>
          <w:tcPr>
            <w:tcW w:w="767"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Cs w:val="21"/>
                <w:lang w:val="en-US" w:eastAsia="zh-CN"/>
              </w:rPr>
              <w:t>游客观赏能力显著提升</w:t>
            </w:r>
          </w:p>
        </w:tc>
        <w:tc>
          <w:tcPr>
            <w:tcW w:w="452" w:type="pct"/>
            <w:shd w:val="clear" w:color="auto"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w:t>
            </w:r>
          </w:p>
        </w:tc>
        <w:tc>
          <w:tcPr>
            <w:tcW w:w="2606"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638"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lang w:eastAsia="zh-CN"/>
              </w:rPr>
            </w:pPr>
          </w:p>
        </w:tc>
        <w:tc>
          <w:tcPr>
            <w:tcW w:w="767"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rPr>
              <w:t>不断促进文化和旅游消费热情</w:t>
            </w:r>
          </w:p>
        </w:tc>
        <w:tc>
          <w:tcPr>
            <w:tcW w:w="452" w:type="pct"/>
            <w:shd w:val="clear" w:color="auto"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w:t>
            </w:r>
          </w:p>
        </w:tc>
        <w:tc>
          <w:tcPr>
            <w:tcW w:w="2606"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638"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lang w:eastAsia="zh-CN"/>
              </w:rPr>
            </w:pPr>
          </w:p>
        </w:tc>
        <w:tc>
          <w:tcPr>
            <w:tcW w:w="767"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Cs w:val="21"/>
                <w:lang w:val="en-US" w:eastAsia="zh-CN"/>
              </w:rPr>
              <w:t>促进了非国有博物馆事业持续发展</w:t>
            </w:r>
          </w:p>
        </w:tc>
        <w:tc>
          <w:tcPr>
            <w:tcW w:w="452" w:type="pct"/>
            <w:shd w:val="clear" w:color="auto"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w:t>
            </w:r>
          </w:p>
        </w:tc>
        <w:tc>
          <w:tcPr>
            <w:tcW w:w="2606"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638"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lang w:eastAsia="zh-CN"/>
              </w:rPr>
            </w:pPr>
          </w:p>
        </w:tc>
        <w:tc>
          <w:tcPr>
            <w:tcW w:w="767" w:type="pct"/>
            <w:shd w:val="clear" w:color="auto" w:fill="FFFFFF"/>
            <w:noWrap w:val="0"/>
            <w:vAlign w:val="center"/>
          </w:tcPr>
          <w:p>
            <w:pPr>
              <w:widowControl/>
              <w:spacing w:line="240" w:lineRule="exact"/>
              <w:ind w:left="-63" w:leftChars="-30" w:right="-63" w:rightChars="-30"/>
              <w:jc w:val="center"/>
              <w:rPr>
                <w:rFonts w:hint="default"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持续保障基本公共文化服务</w:t>
            </w:r>
          </w:p>
        </w:tc>
        <w:tc>
          <w:tcPr>
            <w:tcW w:w="452" w:type="pct"/>
            <w:shd w:val="clear" w:color="auto"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w:t>
            </w:r>
          </w:p>
        </w:tc>
        <w:tc>
          <w:tcPr>
            <w:tcW w:w="2606"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36" w:type="pct"/>
            <w:vMerge w:val="restart"/>
            <w:shd w:val="clear" w:color="auto" w:fill="FFFFFF"/>
            <w:noWrap w:val="0"/>
            <w:vAlign w:val="center"/>
          </w:tcPr>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rPr>
              <w:t>满意度</w:t>
            </w:r>
          </w:p>
          <w:p>
            <w:pPr>
              <w:widowControl/>
              <w:spacing w:line="240" w:lineRule="exact"/>
              <w:jc w:val="center"/>
              <w:rPr>
                <w:rFonts w:hint="eastAsia" w:ascii="黑体" w:hAnsi="宋体" w:eastAsia="黑体" w:cs="宋体"/>
                <w:color w:val="000000"/>
                <w:kern w:val="0"/>
                <w:sz w:val="20"/>
                <w:lang w:eastAsia="zh-CN"/>
              </w:rPr>
            </w:pP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lang w:val="en-US" w:eastAsia="zh-CN"/>
              </w:rPr>
              <w:t>10分</w:t>
            </w:r>
            <w:r>
              <w:rPr>
                <w:rFonts w:hint="eastAsia" w:ascii="黑体" w:hAnsi="宋体" w:eastAsia="黑体" w:cs="宋体"/>
                <w:color w:val="000000"/>
                <w:kern w:val="0"/>
                <w:sz w:val="20"/>
                <w:lang w:eastAsia="zh-CN"/>
              </w:rPr>
              <w:t>）</w:t>
            </w:r>
          </w:p>
        </w:tc>
        <w:tc>
          <w:tcPr>
            <w:tcW w:w="638" w:type="pct"/>
            <w:vMerge w:val="restart"/>
            <w:shd w:val="clear" w:color="auto" w:fill="FFFFFF"/>
            <w:noWrap w:val="0"/>
            <w:vAlign w:val="center"/>
          </w:tcPr>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rPr>
              <w:t>社会公众或服务对象满意度</w:t>
            </w: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lang w:val="en-US" w:eastAsia="zh-CN"/>
              </w:rPr>
              <w:t>10分</w:t>
            </w:r>
            <w:r>
              <w:rPr>
                <w:rFonts w:hint="eastAsia" w:ascii="黑体" w:hAnsi="宋体" w:eastAsia="黑体" w:cs="宋体"/>
                <w:color w:val="000000"/>
                <w:kern w:val="0"/>
                <w:sz w:val="20"/>
                <w:lang w:eastAsia="zh-CN"/>
              </w:rPr>
              <w:t>）</w:t>
            </w:r>
          </w:p>
        </w:tc>
        <w:tc>
          <w:tcPr>
            <w:tcW w:w="1320" w:type="dxa"/>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观众满意度</w:t>
            </w:r>
          </w:p>
        </w:tc>
        <w:tc>
          <w:tcPr>
            <w:tcW w:w="452" w:type="pct"/>
            <w:shd w:val="clear" w:color="auto"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4</w:t>
            </w:r>
          </w:p>
        </w:tc>
        <w:tc>
          <w:tcPr>
            <w:tcW w:w="2606"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lang w:eastAsia="zh-CN"/>
              </w:rPr>
            </w:pPr>
          </w:p>
        </w:tc>
        <w:tc>
          <w:tcPr>
            <w:tcW w:w="638"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1320" w:type="dxa"/>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游客满意度</w:t>
            </w:r>
          </w:p>
        </w:tc>
        <w:tc>
          <w:tcPr>
            <w:tcW w:w="452" w:type="pct"/>
            <w:shd w:val="clear" w:color="auto"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3</w:t>
            </w:r>
          </w:p>
        </w:tc>
        <w:tc>
          <w:tcPr>
            <w:tcW w:w="2606"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3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lang w:eastAsia="zh-CN"/>
              </w:rPr>
            </w:pPr>
          </w:p>
        </w:tc>
        <w:tc>
          <w:tcPr>
            <w:tcW w:w="638"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1320" w:type="dxa"/>
            <w:shd w:val="clear" w:color="auto" w:fill="FFFFFF"/>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群众满意度</w:t>
            </w:r>
          </w:p>
        </w:tc>
        <w:tc>
          <w:tcPr>
            <w:tcW w:w="452" w:type="pct"/>
            <w:shd w:val="clear" w:color="auto"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3</w:t>
            </w:r>
          </w:p>
        </w:tc>
        <w:tc>
          <w:tcPr>
            <w:tcW w:w="2606"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000" w:type="pct"/>
            <w:gridSpan w:val="5"/>
            <w:shd w:val="clear" w:color="auto" w:fill="FFFFFF"/>
            <w:noWrap w:val="0"/>
            <w:vAlign w:val="center"/>
          </w:tcPr>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rPr>
              <w:t>总分</w:t>
            </w:r>
          </w:p>
        </w:tc>
      </w:tr>
    </w:tbl>
    <w:p>
      <w:pPr>
        <w:pStyle w:val="8"/>
        <w:rPr>
          <w:rFonts w:hint="eastAsia"/>
        </w:rPr>
      </w:pPr>
    </w:p>
    <w:p>
      <w:pPr>
        <w:keepNext w:val="0"/>
        <w:keepLines w:val="0"/>
        <w:pageBreakBefore w:val="0"/>
        <w:widowControl w:val="0"/>
        <w:numPr>
          <w:ilvl w:val="0"/>
          <w:numId w:val="1"/>
        </w:numPr>
        <w:kinsoku/>
        <w:wordWrap/>
        <w:overflowPunct/>
        <w:topLinePunct w:val="0"/>
        <w:autoSpaceDE/>
        <w:autoSpaceDN/>
        <w:bidi w:val="0"/>
        <w:spacing w:line="600" w:lineRule="exact"/>
        <w:ind w:left="0" w:leftChars="0" w:firstLine="640" w:firstLineChars="200"/>
        <w:textAlignment w:val="auto"/>
        <w:rPr>
          <w:rFonts w:hint="eastAsia" w:ascii="黑体" w:eastAsia="黑体"/>
          <w:sz w:val="32"/>
          <w:szCs w:val="32"/>
        </w:rPr>
      </w:pPr>
      <w:r>
        <w:rPr>
          <w:rFonts w:hint="eastAsia" w:ascii="黑体" w:eastAsia="黑体"/>
          <w:sz w:val="32"/>
          <w:szCs w:val="32"/>
        </w:rPr>
        <w:t>绩效评价工作过程</w:t>
      </w:r>
    </w:p>
    <w:p>
      <w:pPr>
        <w:ind w:firstLine="643" w:firstLineChars="200"/>
        <w:rPr>
          <w:rFonts w:ascii="仿宋" w:hAnsi="仿宋" w:eastAsia="仿宋"/>
          <w:sz w:val="32"/>
          <w:szCs w:val="32"/>
        </w:rPr>
      </w:pPr>
      <w:r>
        <w:rPr>
          <w:rFonts w:hint="eastAsia" w:ascii="仿宋" w:hAnsi="仿宋" w:eastAsia="仿宋"/>
          <w:b/>
          <w:sz w:val="32"/>
          <w:szCs w:val="32"/>
        </w:rPr>
        <w:t>1.工作部署阶段</w:t>
      </w:r>
    </w:p>
    <w:p>
      <w:pPr>
        <w:pStyle w:val="16"/>
        <w:ind w:firstLine="640"/>
        <w:rPr>
          <w:rFonts w:ascii="仿宋" w:hAnsi="仿宋" w:eastAsia="仿宋"/>
          <w:sz w:val="32"/>
          <w:szCs w:val="32"/>
        </w:rPr>
      </w:pPr>
      <w:r>
        <w:rPr>
          <w:rFonts w:hint="eastAsia" w:ascii="仿宋" w:hAnsi="仿宋" w:eastAsia="仿宋"/>
          <w:sz w:val="32"/>
          <w:szCs w:val="32"/>
        </w:rPr>
        <w:t>为了做好绩效评价工作，规范和加强专项资金管理，切实提高专项资金的使用绩效和管理水平，</w:t>
      </w:r>
      <w:r>
        <w:rPr>
          <w:rFonts w:hint="eastAsia" w:ascii="仿宋" w:hAnsi="仿宋" w:eastAsia="仿宋"/>
          <w:sz w:val="32"/>
          <w:szCs w:val="32"/>
          <w:lang w:eastAsia="zh-CN"/>
        </w:rPr>
        <w:t>南昌市文化广电新闻出版旅游局</w:t>
      </w:r>
      <w:r>
        <w:rPr>
          <w:rFonts w:hint="eastAsia" w:ascii="仿宋" w:hAnsi="仿宋" w:eastAsia="仿宋"/>
          <w:sz w:val="32"/>
          <w:szCs w:val="32"/>
        </w:rPr>
        <w:t>成立了绩效评价工作领导小组，领导小组下设办公室，制定并下发了《</w:t>
      </w:r>
      <w:r>
        <w:rPr>
          <w:rFonts w:hint="eastAsia" w:ascii="仿宋" w:hAnsi="仿宋" w:eastAsia="仿宋"/>
          <w:sz w:val="32"/>
          <w:szCs w:val="32"/>
          <w:lang w:eastAsia="zh-CN"/>
        </w:rPr>
        <w:t>南昌市文化广电新闻出版旅游局</w:t>
      </w:r>
      <w:r>
        <w:rPr>
          <w:rFonts w:hint="eastAsia" w:ascii="仿宋" w:hAnsi="仿宋" w:eastAsia="仿宋"/>
          <w:sz w:val="32"/>
          <w:szCs w:val="32"/>
          <w:lang w:val="en-US" w:eastAsia="zh-CN"/>
        </w:rPr>
        <w:t>2021</w:t>
      </w:r>
      <w:r>
        <w:rPr>
          <w:rFonts w:hint="eastAsia" w:ascii="仿宋" w:hAnsi="仿宋" w:eastAsia="仿宋"/>
          <w:sz w:val="32"/>
          <w:szCs w:val="32"/>
        </w:rPr>
        <w:t>年度财政项目支出绩效评价工作方案》。组织项目实施</w:t>
      </w:r>
      <w:r>
        <w:rPr>
          <w:rFonts w:hint="eastAsia" w:ascii="仿宋" w:hAnsi="仿宋" w:eastAsia="仿宋"/>
          <w:sz w:val="32"/>
          <w:szCs w:val="32"/>
          <w:lang w:eastAsia="zh-CN"/>
        </w:rPr>
        <w:t>科室</w:t>
      </w:r>
      <w:r>
        <w:rPr>
          <w:rFonts w:hint="eastAsia" w:ascii="仿宋" w:hAnsi="仿宋" w:eastAsia="仿宋"/>
          <w:sz w:val="32"/>
          <w:szCs w:val="32"/>
        </w:rPr>
        <w:t>深入学习财政部《关于印发&lt;预算绩效评价共性指标体系框架&gt;的通知》（财预【2013】53号）、市政府《关于印发&lt;南昌市财政支出绩效评价管理办法（试行）&gt;的通知》（洪府发【2014】8号）、中共南昌市委 南昌市人</w:t>
      </w:r>
      <w:r>
        <w:rPr>
          <w:rFonts w:hint="eastAsia" w:ascii="仿宋" w:hAnsi="仿宋" w:eastAsia="仿宋" w:cs="Times New Roman"/>
          <w:sz w:val="32"/>
          <w:szCs w:val="32"/>
        </w:rPr>
        <w:t>民政府《关于全面实施预算绩效管理的实施意见》(洪发[2019]13号)和《南昌市财政局关于开展2021年度单位自评及部门评价工作的通知》（洪财</w:t>
      </w:r>
      <w:r>
        <w:rPr>
          <w:rFonts w:hint="eastAsia" w:ascii="仿宋" w:hAnsi="仿宋" w:eastAsia="仿宋" w:cs="Times New Roman"/>
          <w:sz w:val="32"/>
          <w:szCs w:val="32"/>
          <w:lang w:val="en-US" w:eastAsia="zh-CN"/>
        </w:rPr>
        <w:t>绩</w:t>
      </w:r>
      <w:r>
        <w:rPr>
          <w:rFonts w:hint="eastAsia" w:ascii="仿宋" w:hAnsi="仿宋" w:eastAsia="仿宋"/>
          <w:sz w:val="32"/>
          <w:szCs w:val="32"/>
        </w:rPr>
        <w:t>【</w:t>
      </w:r>
      <w:r>
        <w:rPr>
          <w:rFonts w:hint="eastAsia" w:ascii="仿宋" w:hAnsi="仿宋" w:eastAsia="仿宋" w:cs="Times New Roman"/>
          <w:sz w:val="32"/>
          <w:szCs w:val="32"/>
        </w:rPr>
        <w:t>202</w:t>
      </w:r>
      <w:r>
        <w:rPr>
          <w:rFonts w:hint="eastAsia" w:ascii="仿宋" w:hAnsi="仿宋" w:eastAsia="仿宋" w:cs="Times New Roman"/>
          <w:sz w:val="32"/>
          <w:szCs w:val="32"/>
          <w:lang w:val="en-US" w:eastAsia="zh-CN"/>
        </w:rPr>
        <w:t>2</w:t>
      </w:r>
      <w:r>
        <w:rPr>
          <w:rFonts w:hint="eastAsia" w:ascii="仿宋" w:hAnsi="仿宋" w:eastAsia="仿宋"/>
          <w:sz w:val="32"/>
          <w:szCs w:val="32"/>
        </w:rPr>
        <w:t>】</w:t>
      </w:r>
      <w:r>
        <w:rPr>
          <w:rFonts w:hint="eastAsia" w:ascii="仿宋" w:hAnsi="仿宋" w:eastAsia="仿宋" w:cs="Times New Roman"/>
          <w:sz w:val="32"/>
          <w:szCs w:val="32"/>
          <w:lang w:val="en-US" w:eastAsia="zh-CN"/>
        </w:rPr>
        <w:t>1</w:t>
      </w:r>
      <w:r>
        <w:rPr>
          <w:rFonts w:hint="eastAsia" w:ascii="仿宋" w:hAnsi="仿宋" w:eastAsia="仿宋" w:cs="Times New Roman"/>
          <w:sz w:val="32"/>
          <w:szCs w:val="32"/>
        </w:rPr>
        <w:t>号）文件，认真研究</w:t>
      </w:r>
      <w:r>
        <w:rPr>
          <w:rFonts w:hint="eastAsia" w:ascii="仿宋" w:hAnsi="仿宋" w:eastAsia="仿宋" w:cs="Times New Roman"/>
          <w:sz w:val="32"/>
          <w:szCs w:val="32"/>
          <w:lang w:val="en-US" w:eastAsia="zh-CN"/>
        </w:rPr>
        <w:t>项目目标</w:t>
      </w:r>
      <w:r>
        <w:rPr>
          <w:rFonts w:hint="eastAsia" w:ascii="仿宋" w:hAnsi="仿宋" w:eastAsia="仿宋" w:cs="Times New Roman"/>
          <w:sz w:val="32"/>
          <w:szCs w:val="32"/>
        </w:rPr>
        <w:t>的特点，以及市财政局提出的绩效评价指标设计要求，制定了</w:t>
      </w:r>
      <w:r>
        <w:rPr>
          <w:rFonts w:hint="eastAsia" w:ascii="仿宋" w:hAnsi="仿宋" w:eastAsia="仿宋" w:cs="Times New Roman"/>
          <w:sz w:val="32"/>
          <w:szCs w:val="32"/>
          <w:lang w:eastAsia="zh-CN"/>
        </w:rPr>
        <w:t>南昌市文化广电新闻出版旅游局</w:t>
      </w:r>
      <w:r>
        <w:rPr>
          <w:rFonts w:hint="eastAsia" w:ascii="仿宋" w:hAnsi="仿宋" w:eastAsia="仿宋"/>
          <w:sz w:val="32"/>
          <w:szCs w:val="32"/>
          <w:lang w:val="en-US" w:eastAsia="zh-CN"/>
        </w:rPr>
        <w:t>绩效</w:t>
      </w:r>
      <w:r>
        <w:rPr>
          <w:rFonts w:hint="eastAsia" w:ascii="仿宋" w:hAnsi="仿宋" w:eastAsia="仿宋"/>
          <w:sz w:val="32"/>
          <w:szCs w:val="32"/>
        </w:rPr>
        <w:t>评价指标体系，分绩效评价个性指标及评价标准。</w:t>
      </w:r>
    </w:p>
    <w:p>
      <w:pPr>
        <w:ind w:firstLine="643" w:firstLineChars="200"/>
        <w:rPr>
          <w:rFonts w:ascii="仿宋" w:hAnsi="仿宋" w:eastAsia="仿宋"/>
          <w:b/>
          <w:sz w:val="32"/>
          <w:szCs w:val="32"/>
        </w:rPr>
      </w:pPr>
      <w:r>
        <w:rPr>
          <w:rFonts w:hint="eastAsia" w:ascii="仿宋" w:hAnsi="仿宋" w:eastAsia="仿宋"/>
          <w:b/>
          <w:sz w:val="32"/>
          <w:szCs w:val="32"/>
        </w:rPr>
        <w:t>2.数据采集阶段</w:t>
      </w:r>
    </w:p>
    <w:p>
      <w:pPr>
        <w:pStyle w:val="16"/>
        <w:ind w:firstLine="640"/>
        <w:rPr>
          <w:rFonts w:ascii="仿宋" w:hAnsi="仿宋" w:eastAsia="仿宋"/>
          <w:sz w:val="32"/>
          <w:szCs w:val="32"/>
        </w:rPr>
      </w:pPr>
      <w:r>
        <w:rPr>
          <w:rFonts w:hint="eastAsia" w:ascii="仿宋" w:hAnsi="仿宋" w:eastAsia="仿宋"/>
          <w:sz w:val="32"/>
          <w:szCs w:val="32"/>
        </w:rPr>
        <w:t>各项目</w:t>
      </w:r>
      <w:r>
        <w:rPr>
          <w:rFonts w:hint="eastAsia" w:ascii="仿宋" w:hAnsi="仿宋" w:eastAsia="仿宋"/>
          <w:sz w:val="32"/>
          <w:szCs w:val="32"/>
          <w:lang w:eastAsia="zh-CN"/>
        </w:rPr>
        <w:t>实施科室</w:t>
      </w:r>
      <w:r>
        <w:rPr>
          <w:rFonts w:hint="eastAsia" w:ascii="仿宋" w:hAnsi="仿宋" w:eastAsia="仿宋"/>
          <w:sz w:val="32"/>
          <w:szCs w:val="32"/>
        </w:rPr>
        <w:t>认真做好基础资料和相关数据的收集、整理工作，根据收集的数据资料，详细填报绩效自评相关报表。</w:t>
      </w:r>
    </w:p>
    <w:p>
      <w:pPr>
        <w:ind w:firstLine="643" w:firstLineChars="200"/>
        <w:rPr>
          <w:rFonts w:ascii="仿宋" w:hAnsi="仿宋" w:eastAsia="仿宋"/>
          <w:b/>
          <w:sz w:val="32"/>
          <w:szCs w:val="32"/>
        </w:rPr>
      </w:pPr>
      <w:r>
        <w:rPr>
          <w:rFonts w:hint="eastAsia" w:ascii="仿宋" w:hAnsi="仿宋" w:eastAsia="仿宋"/>
          <w:b/>
          <w:sz w:val="32"/>
          <w:szCs w:val="32"/>
        </w:rPr>
        <w:t>3.单位自评阶段</w:t>
      </w:r>
    </w:p>
    <w:p>
      <w:pPr>
        <w:pStyle w:val="16"/>
        <w:ind w:firstLine="640"/>
        <w:rPr>
          <w:rFonts w:ascii="仿宋" w:hAnsi="仿宋" w:eastAsia="仿宋"/>
          <w:sz w:val="32"/>
          <w:szCs w:val="32"/>
        </w:rPr>
      </w:pPr>
      <w:r>
        <w:rPr>
          <w:rFonts w:hint="eastAsia" w:ascii="仿宋" w:hAnsi="仿宋" w:eastAsia="仿宋"/>
          <w:sz w:val="32"/>
          <w:szCs w:val="32"/>
        </w:rPr>
        <w:t>各项目</w:t>
      </w:r>
      <w:r>
        <w:rPr>
          <w:rFonts w:hint="eastAsia" w:ascii="仿宋" w:hAnsi="仿宋" w:eastAsia="仿宋"/>
          <w:sz w:val="32"/>
          <w:szCs w:val="32"/>
          <w:lang w:eastAsia="zh-CN"/>
        </w:rPr>
        <w:t>实施科室</w:t>
      </w:r>
      <w:r>
        <w:rPr>
          <w:rFonts w:hint="eastAsia" w:ascii="仿宋" w:hAnsi="仿宋" w:eastAsia="仿宋"/>
          <w:sz w:val="32"/>
          <w:szCs w:val="32"/>
        </w:rPr>
        <w:t>根据有关数据及评价标准，进行数据分析，根据</w:t>
      </w:r>
      <w:r>
        <w:rPr>
          <w:rFonts w:hint="eastAsia" w:ascii="仿宋" w:hAnsi="仿宋" w:eastAsia="仿宋"/>
          <w:sz w:val="32"/>
          <w:szCs w:val="32"/>
          <w:lang w:eastAsia="zh-CN"/>
        </w:rPr>
        <w:t>南昌市文化广电新闻出版旅游局</w:t>
      </w:r>
      <w:r>
        <w:rPr>
          <w:rFonts w:hint="eastAsia" w:ascii="仿宋" w:hAnsi="仿宋" w:eastAsia="仿宋"/>
          <w:sz w:val="32"/>
          <w:szCs w:val="32"/>
        </w:rPr>
        <w:t>制定的《</w:t>
      </w:r>
      <w:r>
        <w:rPr>
          <w:rFonts w:hint="eastAsia" w:ascii="仿宋" w:hAnsi="仿宋" w:eastAsia="仿宋"/>
          <w:sz w:val="32"/>
          <w:szCs w:val="32"/>
          <w:lang w:eastAsia="zh-CN"/>
        </w:rPr>
        <w:t>南昌市文化广电新闻出版旅游局</w:t>
      </w:r>
      <w:r>
        <w:rPr>
          <w:rFonts w:hint="eastAsia" w:ascii="仿宋" w:hAnsi="仿宋" w:eastAsia="仿宋"/>
          <w:sz w:val="32"/>
          <w:szCs w:val="32"/>
        </w:rPr>
        <w:t>项目绩效评价指标体系》，对各自的子项目逐个填写 “项目支出绩效自评表”，进行自评打分，得出各子项目的自评分数，并形成书面项目支出绩效评价报告，将“项目支出绩效评价报告”、“项目支出绩效评自评表”等纸质版、电子版材料上报至</w:t>
      </w:r>
      <w:r>
        <w:rPr>
          <w:rFonts w:hint="eastAsia" w:ascii="仿宋" w:hAnsi="仿宋" w:eastAsia="仿宋"/>
          <w:sz w:val="32"/>
          <w:szCs w:val="32"/>
          <w:lang w:eastAsia="zh-CN"/>
        </w:rPr>
        <w:t>南昌市文化广电新闻出版旅游局</w:t>
      </w:r>
      <w:r>
        <w:rPr>
          <w:rFonts w:hint="eastAsia" w:ascii="仿宋" w:hAnsi="仿宋" w:eastAsia="仿宋"/>
          <w:sz w:val="32"/>
          <w:szCs w:val="32"/>
        </w:rPr>
        <w:t>绩效评价工作领导小组办公室。</w:t>
      </w:r>
    </w:p>
    <w:p>
      <w:pPr>
        <w:ind w:firstLine="643" w:firstLineChars="200"/>
        <w:rPr>
          <w:rFonts w:ascii="仿宋" w:hAnsi="仿宋" w:eastAsia="仿宋"/>
          <w:b/>
          <w:sz w:val="32"/>
          <w:szCs w:val="32"/>
        </w:rPr>
      </w:pPr>
      <w:r>
        <w:rPr>
          <w:rFonts w:hint="eastAsia" w:ascii="仿宋" w:hAnsi="仿宋" w:eastAsia="仿宋"/>
          <w:b/>
          <w:sz w:val="32"/>
          <w:szCs w:val="32"/>
        </w:rPr>
        <w:t>4.集中复核阶段</w:t>
      </w:r>
    </w:p>
    <w:p>
      <w:pPr>
        <w:pStyle w:val="16"/>
        <w:ind w:firstLine="640"/>
        <w:rPr>
          <w:rFonts w:hint="eastAsia" w:ascii="仿宋" w:hAnsi="仿宋" w:eastAsia="仿宋"/>
          <w:sz w:val="32"/>
          <w:szCs w:val="32"/>
        </w:rPr>
      </w:pPr>
      <w:r>
        <w:rPr>
          <w:rFonts w:hint="eastAsia" w:ascii="仿宋" w:hAnsi="仿宋" w:eastAsia="仿宋"/>
          <w:sz w:val="32"/>
          <w:szCs w:val="32"/>
          <w:lang w:val="en-US" w:eastAsia="zh-CN"/>
        </w:rPr>
        <w:t>南昌市文化广电新闻出版旅游局</w:t>
      </w:r>
      <w:r>
        <w:rPr>
          <w:rFonts w:hint="eastAsia" w:ascii="仿宋" w:hAnsi="仿宋" w:eastAsia="仿宋"/>
          <w:sz w:val="32"/>
          <w:szCs w:val="32"/>
        </w:rPr>
        <w:t>绩效评价工作小组对各项目</w:t>
      </w:r>
      <w:r>
        <w:rPr>
          <w:rFonts w:hint="eastAsia" w:ascii="仿宋" w:hAnsi="仿宋" w:eastAsia="仿宋"/>
          <w:sz w:val="32"/>
          <w:szCs w:val="32"/>
          <w:lang w:eastAsia="zh-CN"/>
        </w:rPr>
        <w:t>实施科室</w:t>
      </w:r>
      <w:r>
        <w:rPr>
          <w:rFonts w:hint="eastAsia" w:ascii="仿宋" w:hAnsi="仿宋" w:eastAsia="仿宋"/>
          <w:sz w:val="32"/>
          <w:szCs w:val="32"/>
        </w:rPr>
        <w:t>报送的“项目支出绩效评价报告”和“项目支出绩效评自评表”等资料进行了仔细复核、汇总，并抽查部分银行凭单、会计凭证、成果文件等，召开座谈会、与项目实施部门（</w:t>
      </w:r>
      <w:r>
        <w:rPr>
          <w:rFonts w:hint="eastAsia" w:ascii="仿宋" w:hAnsi="仿宋" w:eastAsia="仿宋"/>
          <w:sz w:val="32"/>
          <w:szCs w:val="32"/>
          <w:lang w:eastAsia="zh-CN"/>
        </w:rPr>
        <w:t>科室</w:t>
      </w:r>
      <w:r>
        <w:rPr>
          <w:rFonts w:hint="eastAsia" w:ascii="仿宋" w:hAnsi="仿宋" w:eastAsia="仿宋"/>
          <w:sz w:val="32"/>
          <w:szCs w:val="32"/>
        </w:rPr>
        <w:t>）询问查证、问卷调查，对确认后的数据、资料、图册、文件进行分析，评出子项目部门评价分数，形成</w:t>
      </w:r>
      <w:r>
        <w:rPr>
          <w:rFonts w:hint="eastAsia" w:ascii="仿宋" w:hAnsi="仿宋" w:eastAsia="仿宋"/>
          <w:sz w:val="32"/>
          <w:szCs w:val="32"/>
          <w:lang w:eastAsia="zh-CN"/>
        </w:rPr>
        <w:t>南昌市文化广电新闻出版旅游局</w:t>
      </w:r>
      <w:r>
        <w:rPr>
          <w:rFonts w:hint="eastAsia" w:ascii="仿宋" w:hAnsi="仿宋" w:eastAsia="仿宋"/>
          <w:sz w:val="32"/>
          <w:szCs w:val="32"/>
        </w:rPr>
        <w:t>《</w:t>
      </w:r>
      <w:r>
        <w:rPr>
          <w:rFonts w:hint="eastAsia" w:ascii="仿宋" w:hAnsi="仿宋" w:eastAsia="仿宋"/>
          <w:sz w:val="32"/>
          <w:szCs w:val="32"/>
          <w:lang w:eastAsia="zh-CN"/>
        </w:rPr>
        <w:t>2021</w:t>
      </w:r>
      <w:r>
        <w:rPr>
          <w:rFonts w:hint="eastAsia" w:ascii="仿宋" w:hAnsi="仿宋" w:eastAsia="仿宋"/>
          <w:sz w:val="32"/>
          <w:szCs w:val="32"/>
        </w:rPr>
        <w:t>年度项目资金汇总表》，撰写了</w:t>
      </w:r>
      <w:r>
        <w:rPr>
          <w:rFonts w:hint="eastAsia" w:ascii="仿宋" w:hAnsi="仿宋" w:eastAsia="仿宋"/>
          <w:sz w:val="32"/>
          <w:szCs w:val="32"/>
          <w:lang w:eastAsia="zh-CN"/>
        </w:rPr>
        <w:t>南昌市文化广电新闻出版旅游局</w:t>
      </w:r>
      <w:r>
        <w:rPr>
          <w:rFonts w:hint="eastAsia" w:ascii="仿宋" w:hAnsi="仿宋" w:eastAsia="仿宋"/>
          <w:sz w:val="32"/>
          <w:szCs w:val="32"/>
        </w:rPr>
        <w:t>《</w:t>
      </w:r>
      <w:r>
        <w:rPr>
          <w:rFonts w:hint="eastAsia" w:ascii="仿宋" w:hAnsi="仿宋" w:eastAsia="仿宋"/>
          <w:sz w:val="32"/>
          <w:szCs w:val="32"/>
          <w:lang w:eastAsia="zh-CN"/>
        </w:rPr>
        <w:t>2021年度文化旅游产业发展专项</w:t>
      </w:r>
      <w:r>
        <w:rPr>
          <w:rFonts w:hint="eastAsia" w:ascii="仿宋" w:hAnsi="仿宋" w:eastAsia="仿宋"/>
          <w:sz w:val="32"/>
          <w:szCs w:val="32"/>
        </w:rPr>
        <w:t>资金项目支出绩效评价报告》。</w:t>
      </w:r>
    </w:p>
    <w:p>
      <w:pPr>
        <w:pStyle w:val="16"/>
        <w:ind w:firstLine="643"/>
        <w:rPr>
          <w:rFonts w:hint="eastAsia" w:ascii="仿宋" w:hAnsi="仿宋" w:eastAsia="仿宋"/>
          <w:b/>
          <w:sz w:val="32"/>
          <w:szCs w:val="32"/>
        </w:rPr>
      </w:pPr>
      <w:r>
        <w:rPr>
          <w:rFonts w:hint="eastAsia" w:ascii="仿宋" w:hAnsi="仿宋" w:eastAsia="仿宋"/>
          <w:b/>
          <w:sz w:val="32"/>
          <w:szCs w:val="32"/>
          <w:lang w:val="en-US" w:eastAsia="zh-CN"/>
        </w:rPr>
        <w:t>5</w:t>
      </w:r>
      <w:r>
        <w:rPr>
          <w:rFonts w:hint="eastAsia" w:ascii="仿宋" w:hAnsi="仿宋" w:eastAsia="仿宋"/>
          <w:b/>
          <w:sz w:val="32"/>
          <w:szCs w:val="32"/>
        </w:rPr>
        <w:t>、整改落实阶段</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28"/>
        </w:rPr>
      </w:pPr>
      <w:r>
        <w:rPr>
          <w:rFonts w:hint="eastAsia" w:ascii="仿宋" w:hAnsi="仿宋" w:eastAsia="仿宋"/>
          <w:sz w:val="32"/>
          <w:szCs w:val="32"/>
        </w:rPr>
        <w:t>部门绩效评价工作结束后，及时对</w:t>
      </w:r>
      <w:r>
        <w:rPr>
          <w:rFonts w:hint="eastAsia" w:ascii="仿宋" w:hAnsi="仿宋" w:eastAsia="仿宋"/>
          <w:sz w:val="32"/>
          <w:szCs w:val="32"/>
          <w:lang w:eastAsia="zh-CN"/>
        </w:rPr>
        <w:t>2021年度文化旅游产业发展专项</w:t>
      </w:r>
      <w:r>
        <w:rPr>
          <w:rFonts w:hint="eastAsia" w:ascii="仿宋" w:hAnsi="仿宋" w:eastAsia="仿宋"/>
          <w:sz w:val="32"/>
          <w:szCs w:val="32"/>
        </w:rPr>
        <w:t>资金项目实施中存在的问题进行梳理，形成汇总分析报告，并以整改通知书的形式督促存在问题的项目</w:t>
      </w:r>
      <w:r>
        <w:rPr>
          <w:rFonts w:hint="eastAsia" w:ascii="仿宋" w:hAnsi="仿宋" w:eastAsia="仿宋"/>
          <w:sz w:val="32"/>
          <w:szCs w:val="32"/>
          <w:lang w:eastAsia="zh-CN"/>
        </w:rPr>
        <w:t>实施科室</w:t>
      </w:r>
      <w:r>
        <w:rPr>
          <w:rFonts w:hint="eastAsia" w:ascii="仿宋" w:hAnsi="仿宋" w:eastAsia="仿宋"/>
          <w:sz w:val="32"/>
          <w:szCs w:val="32"/>
        </w:rPr>
        <w:t>进行整改，整改落实情况的报告报</w:t>
      </w:r>
      <w:r>
        <w:rPr>
          <w:rFonts w:hint="eastAsia" w:ascii="仿宋" w:hAnsi="仿宋" w:eastAsia="仿宋"/>
          <w:sz w:val="32"/>
          <w:szCs w:val="32"/>
          <w:lang w:val="en-US" w:eastAsia="zh-CN"/>
        </w:rPr>
        <w:t>南昌市文化广电新闻出版旅游局</w:t>
      </w:r>
      <w:r>
        <w:rPr>
          <w:rFonts w:hint="eastAsia" w:ascii="仿宋" w:hAnsi="仿宋" w:eastAsia="仿宋"/>
          <w:sz w:val="32"/>
          <w:szCs w:val="32"/>
        </w:rPr>
        <w:t>绩效评价工作领导小组办公室，并作为</w:t>
      </w:r>
      <w:r>
        <w:rPr>
          <w:rFonts w:hint="eastAsia" w:ascii="仿宋" w:hAnsi="仿宋" w:eastAsia="仿宋"/>
          <w:sz w:val="32"/>
          <w:szCs w:val="32"/>
          <w:lang w:val="en-US" w:eastAsia="zh-CN"/>
        </w:rPr>
        <w:t>单位</w:t>
      </w:r>
      <w:r>
        <w:rPr>
          <w:rFonts w:hint="eastAsia" w:ascii="仿宋" w:hAnsi="仿宋" w:eastAsia="仿宋"/>
          <w:sz w:val="32"/>
          <w:szCs w:val="32"/>
        </w:rPr>
        <w:t>内部绩效考核（含</w:t>
      </w:r>
      <w:r>
        <w:rPr>
          <w:rFonts w:hint="eastAsia" w:ascii="仿宋" w:hAnsi="仿宋" w:eastAsia="仿宋"/>
          <w:sz w:val="32"/>
          <w:szCs w:val="32"/>
          <w:lang w:eastAsia="zh-CN"/>
        </w:rPr>
        <w:t>科室</w:t>
      </w:r>
      <w:r>
        <w:rPr>
          <w:rFonts w:hint="eastAsia" w:ascii="仿宋" w:hAnsi="仿宋" w:eastAsia="仿宋"/>
          <w:sz w:val="32"/>
          <w:szCs w:val="32"/>
        </w:rPr>
        <w:t>及个人评优评先）的重要依据。</w:t>
      </w:r>
    </w:p>
    <w:p>
      <w:pPr>
        <w:keepNext w:val="0"/>
        <w:keepLines w:val="0"/>
        <w:pageBreakBefore w:val="0"/>
        <w:widowControl w:val="0"/>
        <w:numPr>
          <w:ilvl w:val="0"/>
          <w:numId w:val="2"/>
        </w:numPr>
        <w:kinsoku/>
        <w:wordWrap/>
        <w:overflowPunct/>
        <w:topLinePunct w:val="0"/>
        <w:autoSpaceDE/>
        <w:autoSpaceDN/>
        <w:bidi w:val="0"/>
        <w:spacing w:line="600" w:lineRule="exact"/>
        <w:ind w:left="0" w:firstLine="560" w:firstLineChars="200"/>
        <w:textAlignment w:val="auto"/>
        <w:rPr>
          <w:rFonts w:hint="eastAsia" w:ascii="黑体" w:eastAsia="黑体"/>
          <w:sz w:val="32"/>
          <w:szCs w:val="32"/>
        </w:rPr>
      </w:pPr>
      <w:r>
        <w:rPr>
          <w:rFonts w:hint="eastAsia" w:ascii="黑体" w:hAnsi="黑体" w:eastAsia="黑体" w:cs="Times New Roman"/>
          <w:sz w:val="28"/>
          <w:szCs w:val="28"/>
        </w:rPr>
        <w:t>综合评价情况及评价结论</w:t>
      </w:r>
    </w:p>
    <w:p>
      <w:pPr>
        <w:keepNext w:val="0"/>
        <w:keepLines w:val="0"/>
        <w:pageBreakBefore w:val="0"/>
        <w:widowControl w:val="0"/>
        <w:kinsoku/>
        <w:wordWrap/>
        <w:overflowPunct/>
        <w:topLinePunct w:val="0"/>
        <w:autoSpaceDE/>
        <w:autoSpaceDN/>
        <w:bidi w:val="0"/>
        <w:adjustRightInd/>
        <w:spacing w:line="600" w:lineRule="exact"/>
        <w:ind w:left="0" w:firstLine="640" w:firstLineChars="200"/>
        <w:textAlignment w:val="auto"/>
        <w:rPr>
          <w:rFonts w:hint="eastAsia" w:ascii="仿宋" w:hAnsi="仿宋" w:eastAsia="仿宋"/>
          <w:sz w:val="32"/>
          <w:szCs w:val="32"/>
        </w:rPr>
      </w:pPr>
      <w:r>
        <w:rPr>
          <w:rFonts w:hint="eastAsia" w:ascii="仿宋" w:hAnsi="仿宋" w:eastAsia="仿宋"/>
          <w:color w:val="000000"/>
          <w:sz w:val="32"/>
          <w:szCs w:val="32"/>
        </w:rPr>
        <w:t>根据《20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w:t>
      </w:r>
      <w:r>
        <w:rPr>
          <w:rFonts w:hint="eastAsia" w:ascii="仿宋" w:hAnsi="仿宋" w:eastAsia="仿宋"/>
          <w:color w:val="000000"/>
          <w:sz w:val="32"/>
          <w:szCs w:val="32"/>
          <w:lang w:eastAsia="zh-CN"/>
        </w:rPr>
        <w:t>南昌市文化广电新闻出版旅游局</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文化旅游产业发展专项</w:t>
      </w:r>
      <w:r>
        <w:rPr>
          <w:rFonts w:hint="eastAsia" w:ascii="仿宋" w:hAnsi="仿宋" w:eastAsia="仿宋"/>
          <w:color w:val="000000"/>
          <w:sz w:val="32"/>
          <w:szCs w:val="32"/>
        </w:rPr>
        <w:t>”项目</w:t>
      </w:r>
      <w:r>
        <w:rPr>
          <w:rFonts w:hint="eastAsia" w:ascii="仿宋" w:hAnsi="仿宋" w:eastAsia="仿宋"/>
          <w:color w:val="000000"/>
          <w:sz w:val="32"/>
          <w:szCs w:val="32"/>
          <w:lang w:val="en-US" w:eastAsia="zh-CN"/>
        </w:rPr>
        <w:t>支出</w:t>
      </w:r>
      <w:r>
        <w:rPr>
          <w:rFonts w:hint="eastAsia" w:ascii="仿宋" w:hAnsi="仿宋" w:eastAsia="仿宋"/>
          <w:color w:val="000000"/>
          <w:sz w:val="32"/>
          <w:szCs w:val="32"/>
        </w:rPr>
        <w:t>绩效</w:t>
      </w:r>
      <w:r>
        <w:rPr>
          <w:rFonts w:hint="eastAsia" w:ascii="仿宋" w:hAnsi="仿宋" w:eastAsia="仿宋"/>
          <w:color w:val="000000"/>
          <w:sz w:val="32"/>
          <w:szCs w:val="32"/>
          <w:lang w:val="en-US" w:eastAsia="zh-CN"/>
        </w:rPr>
        <w:t>自评</w:t>
      </w:r>
      <w:r>
        <w:rPr>
          <w:rFonts w:hint="eastAsia" w:ascii="仿宋" w:hAnsi="仿宋" w:eastAsia="仿宋"/>
          <w:color w:val="000000"/>
          <w:sz w:val="32"/>
          <w:szCs w:val="32"/>
        </w:rPr>
        <w:t>表》,</w:t>
      </w:r>
      <w:r>
        <w:rPr>
          <w:rFonts w:hint="eastAsia" w:ascii="仿宋" w:hAnsi="仿宋" w:eastAsia="仿宋" w:cs="仿宋"/>
          <w:color w:val="000000"/>
          <w:sz w:val="30"/>
          <w:szCs w:val="30"/>
        </w:rPr>
        <w:t>围绕绩效评价指标体系，通过数据采集分析，实地检查及电话回访等方式，对该项目绩效进行了客观、公开的评价，最终评价结果为</w:t>
      </w:r>
      <w:r>
        <w:rPr>
          <w:rFonts w:hint="eastAsia" w:ascii="仿宋" w:hAnsi="仿宋" w:eastAsia="仿宋" w:cs="仿宋"/>
          <w:color w:val="000000"/>
          <w:sz w:val="30"/>
          <w:szCs w:val="30"/>
          <w:lang w:val="en-US" w:eastAsia="zh-CN"/>
        </w:rPr>
        <w:t>93.98</w:t>
      </w:r>
      <w:r>
        <w:rPr>
          <w:rFonts w:hint="eastAsia" w:ascii="仿宋" w:hAnsi="仿宋" w:eastAsia="仿宋" w:cs="仿宋"/>
          <w:color w:val="000000"/>
          <w:sz w:val="30"/>
          <w:szCs w:val="30"/>
        </w:rPr>
        <w:t>分，评价等级为优</w:t>
      </w:r>
      <w:r>
        <w:rPr>
          <w:rFonts w:hint="eastAsia" w:ascii="仿宋" w:hAnsi="仿宋" w:eastAsia="仿宋"/>
          <w:sz w:val="32"/>
          <w:szCs w:val="32"/>
        </w:rPr>
        <w:t>。评分详情见下表：</w:t>
      </w:r>
    </w:p>
    <w:p>
      <w:pPr>
        <w:pStyle w:val="2"/>
        <w:rPr>
          <w:rFonts w:hint="eastAsia"/>
        </w:rPr>
      </w:pPr>
    </w:p>
    <w:p>
      <w:pPr>
        <w:pStyle w:val="8"/>
        <w:rPr>
          <w:rFonts w:hint="eastAsia"/>
        </w:rPr>
      </w:pPr>
    </w:p>
    <w:tbl>
      <w:tblPr>
        <w:tblStyle w:val="13"/>
        <w:tblW w:w="476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8"/>
        <w:gridCol w:w="1101"/>
        <w:gridCol w:w="1321"/>
        <w:gridCol w:w="780"/>
        <w:gridCol w:w="4494"/>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blHeader/>
          <w:jc w:val="center"/>
        </w:trPr>
        <w:tc>
          <w:tcPr>
            <w:tcW w:w="484" w:type="pct"/>
            <w:shd w:val="clear" w:color="auto" w:fill="FFFFFF"/>
            <w:noWrap w:val="0"/>
            <w:vAlign w:val="center"/>
          </w:tcPr>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一级</w:t>
            </w:r>
          </w:p>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指标</w:t>
            </w:r>
          </w:p>
        </w:tc>
        <w:tc>
          <w:tcPr>
            <w:tcW w:w="586" w:type="pct"/>
            <w:shd w:val="clear" w:color="auto" w:fill="FFFFFF"/>
            <w:noWrap w:val="0"/>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二级指标</w:t>
            </w:r>
          </w:p>
        </w:tc>
        <w:tc>
          <w:tcPr>
            <w:tcW w:w="703" w:type="pct"/>
            <w:shd w:val="clear" w:color="auto" w:fill="FFFFFF"/>
            <w:noWrap w:val="0"/>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三级指标</w:t>
            </w:r>
          </w:p>
        </w:tc>
        <w:tc>
          <w:tcPr>
            <w:tcW w:w="415" w:type="pct"/>
            <w:shd w:val="clear" w:color="auto" w:fill="FFFFFF"/>
            <w:noWrap w:val="0"/>
            <w:vAlign w:val="center"/>
          </w:tcPr>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分值权重</w:t>
            </w:r>
          </w:p>
        </w:tc>
        <w:tc>
          <w:tcPr>
            <w:tcW w:w="2391" w:type="pct"/>
            <w:shd w:val="clear" w:color="auto" w:fill="FFFFFF"/>
            <w:noWrap w:val="0"/>
            <w:vAlign w:val="center"/>
          </w:tcPr>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评分标准</w:t>
            </w:r>
          </w:p>
        </w:tc>
        <w:tc>
          <w:tcPr>
            <w:tcW w:w="419" w:type="pct"/>
            <w:shd w:val="clear" w:color="auto" w:fill="FFFFFF"/>
            <w:noWrap w:val="0"/>
            <w:vAlign w:val="center"/>
          </w:tcPr>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评价</w:t>
            </w:r>
          </w:p>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5" w:hRule="atLeast"/>
          <w:jc w:val="center"/>
        </w:trPr>
        <w:tc>
          <w:tcPr>
            <w:tcW w:w="484" w:type="pct"/>
            <w:vMerge w:val="restar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rPr>
              <w:t>决</w:t>
            </w:r>
            <w:r>
              <w:rPr>
                <w:rFonts w:hint="eastAsia" w:ascii="黑体" w:hAnsi="宋体" w:eastAsia="黑体" w:cs="宋体"/>
                <w:color w:val="000000"/>
                <w:kern w:val="0"/>
                <w:sz w:val="20"/>
                <w:lang w:val="en-US" w:eastAsia="zh-CN"/>
              </w:rPr>
              <w:t>策</w:t>
            </w:r>
          </w:p>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lang w:val="en-US" w:eastAsia="zh-CN"/>
              </w:rPr>
              <w:t>（15分）</w:t>
            </w:r>
          </w:p>
          <w:p>
            <w:pPr>
              <w:widowControl/>
              <w:spacing w:line="240" w:lineRule="exact"/>
              <w:jc w:val="center"/>
              <w:rPr>
                <w:rFonts w:hint="eastAsia" w:ascii="黑体" w:hAnsi="宋体" w:eastAsia="黑体" w:cs="宋体"/>
                <w:color w:val="000000"/>
                <w:kern w:val="0"/>
                <w:sz w:val="20"/>
              </w:rPr>
            </w:pPr>
          </w:p>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rPr>
              <w:t>　</w:t>
            </w:r>
          </w:p>
        </w:tc>
        <w:tc>
          <w:tcPr>
            <w:tcW w:w="586" w:type="pct"/>
            <w:vMerge w:val="restart"/>
            <w:shd w:val="clear" w:color="auto" w:fill="FFFFFF"/>
            <w:noWrap w:val="0"/>
            <w:vAlign w:val="center"/>
          </w:tcPr>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rPr>
              <w:t>项目立项</w:t>
            </w: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lang w:val="en-US" w:eastAsia="zh-CN"/>
              </w:rPr>
              <w:t>5分</w:t>
            </w: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rPr>
              <w:t>　</w:t>
            </w:r>
          </w:p>
        </w:tc>
        <w:tc>
          <w:tcPr>
            <w:tcW w:w="703"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立项依据充分性</w:t>
            </w:r>
          </w:p>
        </w:tc>
        <w:tc>
          <w:tcPr>
            <w:tcW w:w="415" w:type="pct"/>
            <w:shd w:val="clear" w:color="auto"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2.5</w:t>
            </w:r>
          </w:p>
        </w:tc>
        <w:tc>
          <w:tcPr>
            <w:tcW w:w="2391"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1、项目立项是否符合国家法律法规、国民经济发展规划和相关政策（0.5分）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2、项目立项是否符合行业发展规划和政策要求（0.5分）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3、项目立项是否与部门职责范围相符，属于部门履职所需（0.5分）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4、项目是否属于公共财政支持范围，是否符合中央、地方事权支出责任划分原则（0.5分）</w:t>
            </w:r>
            <w:r>
              <w:rPr>
                <w:rFonts w:hint="eastAsia" w:ascii="黑体" w:hAnsi="宋体" w:eastAsia="黑体" w:cs="宋体"/>
                <w:color w:val="000000"/>
                <w:kern w:val="0"/>
                <w:sz w:val="20"/>
                <w:lang w:val="en-US" w:eastAsia="zh-CN"/>
              </w:rPr>
              <w:br w:type="textWrapping"/>
            </w:r>
            <w:r>
              <w:rPr>
                <w:rFonts w:hint="eastAsia" w:ascii="黑体" w:hAnsi="宋体" w:eastAsia="黑体" w:cs="宋体"/>
                <w:color w:val="000000"/>
                <w:kern w:val="0"/>
                <w:sz w:val="20"/>
                <w:lang w:val="en-US" w:eastAsia="zh-CN"/>
              </w:rPr>
              <w:t>5、项目是否与相关部门同类项目或部门内部相关项目重复（0.5分）</w:t>
            </w:r>
          </w:p>
        </w:tc>
        <w:tc>
          <w:tcPr>
            <w:tcW w:w="419"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立项程序规范性</w:t>
            </w:r>
          </w:p>
        </w:tc>
        <w:tc>
          <w:tcPr>
            <w:tcW w:w="415" w:type="pct"/>
            <w:shd w:val="clear" w:color="auto"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2.5</w:t>
            </w:r>
          </w:p>
        </w:tc>
        <w:tc>
          <w:tcPr>
            <w:tcW w:w="2391"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1、项目是否按照规定的程序申请设立（0.8分）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2、审批文件、材料是否符合相关要求（0.8分）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3、事前是否已经过必要的可行性研究、专家论证、风险评估、绩效评估、集体决策（0.9分）</w:t>
            </w:r>
          </w:p>
        </w:tc>
        <w:tc>
          <w:tcPr>
            <w:tcW w:w="419"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restart"/>
            <w:shd w:val="clear" w:color="auto" w:fill="FFFFFF"/>
            <w:noWrap w:val="0"/>
            <w:vAlign w:val="center"/>
          </w:tcPr>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rPr>
              <w:t>绩效目标</w:t>
            </w: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lang w:val="en-US" w:eastAsia="zh-CN"/>
              </w:rPr>
              <w:t>5分</w:t>
            </w: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rPr>
              <w:t>　</w:t>
            </w:r>
          </w:p>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绩效目标合理性</w:t>
            </w:r>
          </w:p>
        </w:tc>
        <w:tc>
          <w:tcPr>
            <w:tcW w:w="415" w:type="pct"/>
            <w:shd w:val="clear" w:color="000000"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2.5</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1、项目是否有绩效目标（0.6分）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2、项目绩效目标与实际工作内容是否具有相关性（0.6分）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3、项目预期产出效益和效果是否符合正常的业绩水平（0.6分）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4、是否与预算确定的项目投资额或资金量相匹配（0.7分）</w:t>
            </w:r>
          </w:p>
        </w:tc>
        <w:tc>
          <w:tcPr>
            <w:tcW w:w="419" w:type="pct"/>
            <w:shd w:val="clear" w:color="000000"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绩效指标明确性</w:t>
            </w:r>
          </w:p>
        </w:tc>
        <w:tc>
          <w:tcPr>
            <w:tcW w:w="415" w:type="pct"/>
            <w:shd w:val="clear" w:color="000000"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2.5</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1、是否将项目绩效目标细化分解为具体的绩效指标（0.8分）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2、是否通过清晰、可衡量的指标值予以体现（0.8分）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3、是否与项目目标任务数或计划数相对应（0.8分）</w:t>
            </w:r>
          </w:p>
        </w:tc>
        <w:tc>
          <w:tcPr>
            <w:tcW w:w="419" w:type="pct"/>
            <w:shd w:val="clear" w:color="000000"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restart"/>
            <w:shd w:val="clear" w:color="auto" w:fill="FFFFFF"/>
            <w:noWrap w:val="0"/>
            <w:vAlign w:val="center"/>
          </w:tcPr>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rPr>
              <w:t>资金投入</w:t>
            </w: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lang w:val="en-US" w:eastAsia="zh-CN"/>
              </w:rPr>
              <w:t>5分</w:t>
            </w:r>
            <w:r>
              <w:rPr>
                <w:rFonts w:hint="eastAsia" w:ascii="黑体" w:hAnsi="宋体" w:eastAsia="黑体" w:cs="宋体"/>
                <w:color w:val="000000"/>
                <w:kern w:val="0"/>
                <w:sz w:val="20"/>
                <w:lang w:eastAsia="zh-CN"/>
              </w:rPr>
              <w:t>）</w:t>
            </w:r>
          </w:p>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rPr>
              <w:t>　</w:t>
            </w:r>
          </w:p>
        </w:tc>
        <w:tc>
          <w:tcPr>
            <w:tcW w:w="703"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预算编制科学性</w:t>
            </w:r>
          </w:p>
        </w:tc>
        <w:tc>
          <w:tcPr>
            <w:tcW w:w="415" w:type="pct"/>
            <w:shd w:val="clear" w:color="auto"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2.5</w:t>
            </w:r>
          </w:p>
        </w:tc>
        <w:tc>
          <w:tcPr>
            <w:tcW w:w="2391"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1、预算编制是否经过科学论证（0.6分）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2、预算内容与项目内容是否匹配（0.7分）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3、预算额度测算依据是否充分，是否按照标准编制（0.6分）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4、预算确定的项目投资额或资金量是否与工作任务相匹配（0.6分）</w:t>
            </w:r>
          </w:p>
        </w:tc>
        <w:tc>
          <w:tcPr>
            <w:tcW w:w="419"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资金分配合理性</w:t>
            </w:r>
          </w:p>
        </w:tc>
        <w:tc>
          <w:tcPr>
            <w:tcW w:w="415" w:type="pct"/>
            <w:shd w:val="clear" w:color="auto"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2.5</w:t>
            </w:r>
          </w:p>
        </w:tc>
        <w:tc>
          <w:tcPr>
            <w:tcW w:w="2391"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1、预算资金分配依据是否充分（1.25分）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2、资金分配额度是否合理，与项目单位或地方实际是否相适应（1.25分）</w:t>
            </w:r>
          </w:p>
        </w:tc>
        <w:tc>
          <w:tcPr>
            <w:tcW w:w="419"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484" w:type="pct"/>
            <w:vMerge w:val="restart"/>
            <w:shd w:val="clear" w:color="auto" w:fill="FFFFFF"/>
            <w:noWrap w:val="0"/>
            <w:vAlign w:val="center"/>
          </w:tcPr>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rPr>
              <w:t>过程</w:t>
            </w:r>
          </w:p>
          <w:p>
            <w:pPr>
              <w:widowControl/>
              <w:spacing w:line="240" w:lineRule="exact"/>
              <w:jc w:val="center"/>
              <w:rPr>
                <w:rFonts w:hint="eastAsia" w:ascii="黑体" w:hAnsi="宋体" w:eastAsia="黑体" w:cs="宋体"/>
                <w:color w:val="000000"/>
                <w:kern w:val="0"/>
                <w:sz w:val="20"/>
                <w:lang w:eastAsia="zh-CN"/>
              </w:rPr>
            </w:pPr>
            <w:r>
              <w:rPr>
                <w:rFonts w:hint="eastAsia" w:ascii="黑体" w:hAnsi="宋体" w:eastAsia="黑体" w:cs="宋体"/>
                <w:color w:val="000000"/>
                <w:kern w:val="0"/>
                <w:sz w:val="20"/>
                <w:lang w:val="en-US" w:eastAsia="zh-CN"/>
              </w:rPr>
              <w:t>（15分</w:t>
            </w:r>
            <w:r>
              <w:rPr>
                <w:rFonts w:hint="eastAsia" w:ascii="黑体" w:hAnsi="宋体" w:eastAsia="黑体" w:cs="宋体"/>
                <w:color w:val="000000"/>
                <w:kern w:val="0"/>
                <w:sz w:val="20"/>
                <w:lang w:eastAsia="zh-CN"/>
              </w:rPr>
              <w:t>）</w:t>
            </w:r>
          </w:p>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rPr>
              <w:t>　　</w:t>
            </w:r>
          </w:p>
        </w:tc>
        <w:tc>
          <w:tcPr>
            <w:tcW w:w="586" w:type="pct"/>
            <w:vMerge w:val="restart"/>
            <w:shd w:val="clear" w:color="auto" w:fill="FFFFFF"/>
            <w:noWrap w:val="0"/>
            <w:vAlign w:val="center"/>
          </w:tcPr>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rPr>
              <w:t>资金管理</w:t>
            </w: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lang w:val="en-US" w:eastAsia="zh-CN"/>
              </w:rPr>
              <w:t>10分</w:t>
            </w:r>
            <w:r>
              <w:rPr>
                <w:rFonts w:hint="eastAsia" w:ascii="黑体" w:hAnsi="宋体" w:eastAsia="黑体" w:cs="宋体"/>
                <w:color w:val="000000"/>
                <w:kern w:val="0"/>
                <w:sz w:val="20"/>
                <w:lang w:eastAsia="zh-CN"/>
              </w:rPr>
              <w:t>）</w:t>
            </w:r>
          </w:p>
        </w:tc>
        <w:tc>
          <w:tcPr>
            <w:tcW w:w="703"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资金到位率</w:t>
            </w:r>
          </w:p>
        </w:tc>
        <w:tc>
          <w:tcPr>
            <w:tcW w:w="415" w:type="pct"/>
            <w:shd w:val="clear" w:color="000000"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2.5</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资金到位率=（实际到位资金/预算资金）×100%。（2.5分）</w:t>
            </w:r>
          </w:p>
        </w:tc>
        <w:tc>
          <w:tcPr>
            <w:tcW w:w="419"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预算执行率</w:t>
            </w:r>
          </w:p>
        </w:tc>
        <w:tc>
          <w:tcPr>
            <w:tcW w:w="415" w:type="pct"/>
            <w:shd w:val="clear" w:color="auto"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2.5</w:t>
            </w:r>
          </w:p>
        </w:tc>
        <w:tc>
          <w:tcPr>
            <w:tcW w:w="2391"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预算执行率=（实际支出资金/实际到位资金）×100%。（2.5分）</w:t>
            </w:r>
          </w:p>
        </w:tc>
        <w:tc>
          <w:tcPr>
            <w:tcW w:w="419" w:type="pct"/>
            <w:shd w:val="clear" w:color="auto"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资金使用合规性</w:t>
            </w:r>
          </w:p>
        </w:tc>
        <w:tc>
          <w:tcPr>
            <w:tcW w:w="415"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5</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1、是否符合国家财经法规和财务管理制度以及有关专项资金管理办法的规定（1.25分）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2、资金的拨付是否有完整的审批程序和手续（1.25分）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3、是否符合项目预算批复或合同规定的用途（1.25分）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4、是否存在截留、挤占、挪用、虚列支出等情况。（1.25分）</w:t>
            </w:r>
          </w:p>
        </w:tc>
        <w:tc>
          <w:tcPr>
            <w:tcW w:w="419"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restart"/>
            <w:shd w:val="clear" w:color="auto" w:fill="FFFFFF"/>
            <w:noWrap w:val="0"/>
            <w:vAlign w:val="center"/>
          </w:tcPr>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rPr>
              <w:t>组织实施</w:t>
            </w: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lang w:val="en-US" w:eastAsia="zh-CN"/>
              </w:rPr>
              <w:t>5分</w:t>
            </w:r>
            <w:r>
              <w:rPr>
                <w:rFonts w:hint="eastAsia" w:ascii="黑体" w:hAnsi="宋体" w:eastAsia="黑体" w:cs="宋体"/>
                <w:color w:val="000000"/>
                <w:kern w:val="0"/>
                <w:sz w:val="20"/>
                <w:lang w:eastAsia="zh-CN"/>
              </w:rPr>
              <w:t>）</w:t>
            </w:r>
          </w:p>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rPr>
              <w:t>　</w:t>
            </w:r>
          </w:p>
        </w:tc>
        <w:tc>
          <w:tcPr>
            <w:tcW w:w="703"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管理制度健全性</w:t>
            </w:r>
          </w:p>
        </w:tc>
        <w:tc>
          <w:tcPr>
            <w:tcW w:w="415" w:type="pct"/>
            <w:shd w:val="clear" w:color="000000"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2.5</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1、是否已制定或具有相应的财务和业务管理制度（1.25分）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2、财务和业务管理制度是否合法、合规、完整（1.25分）</w:t>
            </w:r>
          </w:p>
        </w:tc>
        <w:tc>
          <w:tcPr>
            <w:tcW w:w="419"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制度执行有效性</w:t>
            </w:r>
          </w:p>
        </w:tc>
        <w:tc>
          <w:tcPr>
            <w:tcW w:w="415" w:type="pct"/>
            <w:shd w:val="clear" w:color="000000"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2.5</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1、是否遵守相关法律法规和相关管理规定（0.6分）2、项目调整及支出调整手续是否完备（0.6分）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3、项目合同书、验收报告、技术鉴定等资料是否齐全并及时归档（0.6分）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4、项目实施的人员条件、场地设备、信息支撑等是否落实到位（0.7分）</w:t>
            </w:r>
          </w:p>
        </w:tc>
        <w:tc>
          <w:tcPr>
            <w:tcW w:w="419"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484" w:type="pct"/>
            <w:vMerge w:val="restart"/>
            <w:shd w:val="clear" w:color="auto" w:fill="FFFFFF"/>
            <w:noWrap w:val="0"/>
            <w:vAlign w:val="center"/>
          </w:tcPr>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rPr>
              <w:t>产出</w:t>
            </w:r>
          </w:p>
          <w:p>
            <w:pPr>
              <w:widowControl/>
              <w:spacing w:line="240" w:lineRule="exact"/>
              <w:jc w:val="center"/>
              <w:rPr>
                <w:rFonts w:hint="eastAsia" w:ascii="黑体" w:hAnsi="宋体" w:eastAsia="黑体" w:cs="宋体"/>
                <w:color w:val="000000"/>
                <w:kern w:val="0"/>
                <w:sz w:val="20"/>
                <w:lang w:eastAsia="zh-CN"/>
              </w:rPr>
            </w:pP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lang w:val="en-US" w:eastAsia="zh-CN"/>
              </w:rPr>
              <w:t>35分</w:t>
            </w:r>
            <w:r>
              <w:rPr>
                <w:rFonts w:hint="eastAsia" w:ascii="黑体" w:hAnsi="宋体" w:eastAsia="黑体" w:cs="宋体"/>
                <w:color w:val="000000"/>
                <w:kern w:val="0"/>
                <w:sz w:val="20"/>
                <w:lang w:eastAsia="zh-CN"/>
              </w:rPr>
              <w:t>）</w:t>
            </w:r>
          </w:p>
        </w:tc>
        <w:tc>
          <w:tcPr>
            <w:tcW w:w="586" w:type="pct"/>
            <w:vMerge w:val="restart"/>
            <w:shd w:val="clear" w:color="auto" w:fill="FFFFFF"/>
            <w:noWrap w:val="0"/>
            <w:vAlign w:val="center"/>
          </w:tcPr>
          <w:p>
            <w:pPr>
              <w:widowControl/>
              <w:spacing w:line="240" w:lineRule="exact"/>
              <w:jc w:val="center"/>
              <w:rPr>
                <w:rFonts w:hint="eastAsia" w:ascii="黑体" w:hAnsi="宋体" w:eastAsia="黑体" w:cs="宋体"/>
                <w:color w:val="000000"/>
                <w:kern w:val="0"/>
                <w:sz w:val="20"/>
                <w:lang w:eastAsia="zh-CN"/>
              </w:rPr>
            </w:pPr>
            <w:r>
              <w:rPr>
                <w:rFonts w:hint="eastAsia" w:ascii="黑体" w:hAnsi="宋体" w:eastAsia="黑体" w:cs="宋体"/>
                <w:color w:val="000000"/>
                <w:kern w:val="0"/>
                <w:sz w:val="20"/>
              </w:rPr>
              <w:t>产出数量</w:t>
            </w: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lang w:val="en-US" w:eastAsia="zh-CN"/>
              </w:rPr>
              <w:t>10分</w:t>
            </w:r>
            <w:r>
              <w:rPr>
                <w:rFonts w:hint="eastAsia" w:ascii="黑体" w:hAnsi="宋体" w:eastAsia="黑体" w:cs="宋体"/>
                <w:color w:val="000000"/>
                <w:kern w:val="0"/>
                <w:sz w:val="20"/>
                <w:lang w:eastAsia="zh-CN"/>
              </w:rPr>
              <w:t>）</w:t>
            </w:r>
          </w:p>
        </w:tc>
        <w:tc>
          <w:tcPr>
            <w:tcW w:w="703" w:type="pct"/>
            <w:shd w:val="clear" w:color="auto" w:fill="FFFFFF"/>
            <w:noWrap w:val="0"/>
            <w:vAlign w:val="center"/>
          </w:tcPr>
          <w:p>
            <w:pPr>
              <w:widowControl/>
              <w:spacing w:line="240" w:lineRule="exact"/>
              <w:ind w:left="-63" w:leftChars="-30" w:right="-63" w:rightChars="-30"/>
              <w:jc w:val="center"/>
              <w:rPr>
                <w:rFonts w:hint="default"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文旅宣传推广工作12项</w:t>
            </w:r>
          </w:p>
        </w:tc>
        <w:tc>
          <w:tcPr>
            <w:tcW w:w="415" w:type="pct"/>
            <w:shd w:val="clear" w:color="000000" w:fill="FFFFFF"/>
            <w:noWrap w:val="0"/>
            <w:vAlign w:val="center"/>
          </w:tcPr>
          <w:p>
            <w:pPr>
              <w:widowControl/>
              <w:spacing w:line="240" w:lineRule="exact"/>
              <w:ind w:left="-63" w:leftChars="-30" w:right="-63" w:rightChars="-30"/>
              <w:jc w:val="center"/>
              <w:rPr>
                <w:rFonts w:hint="default"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实际完成率=（实际产出数/计划产出数）×100%。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得分=实际完成率*分值权重</w:t>
            </w:r>
          </w:p>
        </w:tc>
        <w:tc>
          <w:tcPr>
            <w:tcW w:w="419" w:type="pct"/>
            <w:shd w:val="clear" w:color="000000" w:fill="FFFFFF"/>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文旅政策兑现奖励10项</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实际完成率=（实际产出数/计划产出数）×100%。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得分=实际完成率*分值权重</w:t>
            </w:r>
          </w:p>
        </w:tc>
        <w:tc>
          <w:tcPr>
            <w:tcW w:w="419" w:type="pct"/>
            <w:shd w:val="clear" w:color="000000" w:fill="FFFFFF"/>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 xml:space="preserve">文旅公共服务及活动 </w:t>
            </w:r>
          </w:p>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10项</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实际完成率=（实际产出数/计划产出数）×100%。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得分=实际完成率*分值权重</w:t>
            </w:r>
          </w:p>
        </w:tc>
        <w:tc>
          <w:tcPr>
            <w:tcW w:w="419"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建党100周年活动3类</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实际完成率=（实际产出数/计划产出数）×100%。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得分=实际完成率*分值权重</w:t>
            </w:r>
          </w:p>
        </w:tc>
        <w:tc>
          <w:tcPr>
            <w:tcW w:w="419"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文旅公共服务设施建设 5项</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实际完成率=（实际产出数/计划产出数）×100%。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得分=实际完成率*分值权重</w:t>
            </w:r>
          </w:p>
        </w:tc>
        <w:tc>
          <w:tcPr>
            <w:tcW w:w="419"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文物保护与利用工作3项</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实际完成率=（实际产出数/计划产出数）×100%。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得分=实际完成率*分值权重</w:t>
            </w:r>
          </w:p>
        </w:tc>
        <w:tc>
          <w:tcPr>
            <w:tcW w:w="419"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优秀艺术作品创作5个</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实际完成率=（实际产出数/计划产出数）×100%。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得分=实际完成率*分值权重</w:t>
            </w:r>
          </w:p>
        </w:tc>
        <w:tc>
          <w:tcPr>
            <w:tcW w:w="419" w:type="pct"/>
            <w:shd w:val="clear" w:color="000000" w:fill="FFFFFF"/>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文旅行业人才培训2期</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实际完成率=（实际产出数/计划产出数）×100%。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得分=实际完成率*分值权重</w:t>
            </w:r>
          </w:p>
        </w:tc>
        <w:tc>
          <w:tcPr>
            <w:tcW w:w="419"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黑体" w:eastAsia="黑体" w:cs="黑体"/>
                <w:color w:val="000000"/>
                <w:kern w:val="0"/>
                <w:sz w:val="20"/>
                <w:lang w:val="en-US" w:eastAsia="zh-CN"/>
              </w:rPr>
              <w:t>全市现场抽样调查样本8000份</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实际完成率=（实际产出数/计划产出数）×100%。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得分=实际完成率*分值权重</w:t>
            </w:r>
          </w:p>
        </w:tc>
        <w:tc>
          <w:tcPr>
            <w:tcW w:w="419"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kern w:val="0"/>
                <w:szCs w:val="21"/>
                <w:lang w:val="en-US" w:eastAsia="zh-CN"/>
              </w:rPr>
              <w:t>形成调研报告3阶段</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实际完成率=（实际产出数/计划产出数）×100%。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得分=实际完成率*分值权重</w:t>
            </w:r>
          </w:p>
        </w:tc>
        <w:tc>
          <w:tcPr>
            <w:tcW w:w="419"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购买导游卡1200套</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实际完成率=（实际产出数/计划产出数）×100%。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得分=实际完成率*分值权重</w:t>
            </w:r>
          </w:p>
        </w:tc>
        <w:tc>
          <w:tcPr>
            <w:tcW w:w="419"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黑体" w:eastAsia="黑体" w:cs="黑体"/>
                <w:color w:val="000000"/>
                <w:kern w:val="0"/>
                <w:sz w:val="20"/>
              </w:rPr>
              <w:t>开展自媒体宣传项目1次</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实际完成率=（实际产出数/计划产出数）×100%。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得分=实际完成率*分值权重</w:t>
            </w:r>
          </w:p>
        </w:tc>
        <w:tc>
          <w:tcPr>
            <w:tcW w:w="419"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szCs w:val="22"/>
                <w:lang w:val="en-US" w:eastAsia="zh-CN"/>
              </w:rPr>
              <w:t>建设智慧文旅指挥调度监测系统二期一项</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实际完成率=（实际产出数/计划产出数）×100%。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得分=实际完成率*分值权重</w:t>
            </w:r>
          </w:p>
        </w:tc>
        <w:tc>
          <w:tcPr>
            <w:tcW w:w="419"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送戏下乡资金支付完成率</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实际完成率=（实际产出数/计划产出数）×100%。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得分=实际完成率*分值权重</w:t>
            </w:r>
          </w:p>
        </w:tc>
        <w:tc>
          <w:tcPr>
            <w:tcW w:w="419"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restart"/>
            <w:shd w:val="clear" w:color="auto" w:fill="FFFFFF"/>
            <w:noWrap w:val="0"/>
            <w:vAlign w:val="center"/>
          </w:tcPr>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rPr>
              <w:t>产出质量</w:t>
            </w: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lang w:val="en-US" w:eastAsia="zh-CN"/>
              </w:rPr>
              <w:t>10分</w:t>
            </w:r>
            <w:r>
              <w:rPr>
                <w:rFonts w:hint="eastAsia" w:ascii="黑体" w:hAnsi="宋体" w:eastAsia="黑体" w:cs="宋体"/>
                <w:color w:val="000000"/>
                <w:kern w:val="0"/>
                <w:sz w:val="20"/>
                <w:lang w:eastAsia="zh-CN"/>
              </w:rPr>
              <w:t>）</w:t>
            </w:r>
          </w:p>
        </w:tc>
        <w:tc>
          <w:tcPr>
            <w:tcW w:w="703" w:type="pct"/>
            <w:shd w:val="clear" w:color="auto" w:fill="FFFFFF"/>
            <w:noWrap w:val="0"/>
            <w:vAlign w:val="center"/>
          </w:tcPr>
          <w:p>
            <w:pPr>
              <w:widowControl/>
              <w:spacing w:line="240" w:lineRule="exact"/>
              <w:ind w:left="-63" w:leftChars="-30" w:right="-63" w:rightChars="-30"/>
              <w:jc w:val="center"/>
              <w:rPr>
                <w:rFonts w:hint="default"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文旅宣传推广招投标合规率</w:t>
            </w:r>
          </w:p>
        </w:tc>
        <w:tc>
          <w:tcPr>
            <w:tcW w:w="415" w:type="pct"/>
            <w:shd w:val="clear" w:color="000000" w:fill="FFFFFF"/>
            <w:noWrap w:val="0"/>
            <w:vAlign w:val="center"/>
          </w:tcPr>
          <w:p>
            <w:pPr>
              <w:widowControl/>
              <w:spacing w:line="240" w:lineRule="exact"/>
              <w:ind w:left="-63" w:leftChars="-30" w:right="-63" w:rightChars="-30"/>
              <w:jc w:val="center"/>
              <w:rPr>
                <w:rFonts w:hint="default"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质量达标率=（质量达标产出数/实际产出数）×100%。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得分=质量达标率*分值权重</w:t>
            </w:r>
          </w:p>
        </w:tc>
        <w:tc>
          <w:tcPr>
            <w:tcW w:w="419" w:type="pct"/>
            <w:shd w:val="clear" w:color="000000" w:fill="FFFFFF"/>
            <w:noWrap w:val="0"/>
            <w:vAlign w:val="center"/>
          </w:tcPr>
          <w:p>
            <w:pPr>
              <w:widowControl/>
              <w:spacing w:line="240" w:lineRule="exact"/>
              <w:ind w:left="-63" w:leftChars="-30" w:right="-63" w:rightChars="-30"/>
              <w:jc w:val="center"/>
              <w:rPr>
                <w:rFonts w:hint="default"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文旅政策奖励兑现符合标准率</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质量达标率=（质量达标产出数/实际产出数）×100%。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得分=质量达标率*分值权重</w:t>
            </w:r>
          </w:p>
        </w:tc>
        <w:tc>
          <w:tcPr>
            <w:tcW w:w="419"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文旅公共服务演出活动上座率</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质量达标率=（质量达标产出数/实际产出数）×100%。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得分=质量达标率*分值权重</w:t>
            </w:r>
          </w:p>
        </w:tc>
        <w:tc>
          <w:tcPr>
            <w:tcW w:w="419"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建党100周年活动观众上座率</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质量达标率=（质量达标产出数/实际产出数）×100%。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得分=质量达标率*分值权重</w:t>
            </w:r>
          </w:p>
        </w:tc>
        <w:tc>
          <w:tcPr>
            <w:tcW w:w="419"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文旅公共服务设施建设验收合格率</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质量达标率=（质量达标产出数/实际产出数）×100%。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得分=质量达标率*分值权重</w:t>
            </w:r>
          </w:p>
        </w:tc>
        <w:tc>
          <w:tcPr>
            <w:tcW w:w="419"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文物保护与利用合格率</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质量达标率=（质量达标产出数/实际产出数）×100%。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得分=质量达标率*分值权重</w:t>
            </w:r>
          </w:p>
        </w:tc>
        <w:tc>
          <w:tcPr>
            <w:tcW w:w="419"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优秀艺术作品创作演出成功率</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质量达标率=（质量达标产出数/实际产出数）×100%。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得分=质量达标率*分值权重</w:t>
            </w:r>
          </w:p>
        </w:tc>
        <w:tc>
          <w:tcPr>
            <w:tcW w:w="419"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szCs w:val="22"/>
                <w:lang w:val="en-US" w:eastAsia="zh-CN" w:bidi="ar-SA"/>
              </w:rPr>
              <w:t>培训合格率</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质量达标率=（质量达标产出数/实际产出数）×100%。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得分=质量达标率*分值权重</w:t>
            </w:r>
          </w:p>
        </w:tc>
        <w:tc>
          <w:tcPr>
            <w:tcW w:w="419"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黑体" w:eastAsia="黑体" w:cs="黑体"/>
                <w:color w:val="000000"/>
                <w:kern w:val="0"/>
                <w:sz w:val="20"/>
                <w:lang w:val="en-US" w:eastAsia="zh-CN"/>
              </w:rPr>
              <w:t>调查样本有效率</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质量达标率=（质量达标产出数/实际产出数）×100%。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得分=质量达标率*分值权重</w:t>
            </w:r>
          </w:p>
        </w:tc>
        <w:tc>
          <w:tcPr>
            <w:tcW w:w="419"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kern w:val="0"/>
                <w:szCs w:val="21"/>
                <w:lang w:val="en-US" w:eastAsia="zh-CN"/>
              </w:rPr>
              <w:t>调研报告合格率</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质量达标率=（质量达标产出数/实际产出数）×100%。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得分=质量达标率*分值权重</w:t>
            </w:r>
          </w:p>
        </w:tc>
        <w:tc>
          <w:tcPr>
            <w:tcW w:w="419"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szCs w:val="22"/>
                <w:lang w:val="en-US" w:eastAsia="zh-CN"/>
              </w:rPr>
              <w:t>导游员换证合格率</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质量达标率=（质量达标产出数/实际产出数）×100%。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得分=质量达标率*分值权重</w:t>
            </w:r>
          </w:p>
        </w:tc>
        <w:tc>
          <w:tcPr>
            <w:tcW w:w="419"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黑体" w:eastAsia="黑体" w:cs="黑体"/>
                <w:color w:val="000000"/>
                <w:kern w:val="0"/>
                <w:sz w:val="20"/>
              </w:rPr>
              <w:t>自媒体宣传</w:t>
            </w:r>
            <w:r>
              <w:rPr>
                <w:rFonts w:hint="eastAsia" w:ascii="黑体" w:hAnsi="黑体" w:eastAsia="黑体" w:cs="黑体"/>
                <w:color w:val="000000"/>
                <w:kern w:val="0"/>
                <w:sz w:val="20"/>
                <w:lang w:val="en-US" w:eastAsia="zh-CN"/>
              </w:rPr>
              <w:t>政府采购率</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质量达标率=（质量达标产出数/实际产出数）×100%。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得分=质量达标率*分值权重</w:t>
            </w:r>
          </w:p>
        </w:tc>
        <w:tc>
          <w:tcPr>
            <w:tcW w:w="419"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szCs w:val="22"/>
                <w:lang w:val="en-US" w:eastAsia="zh-CN"/>
              </w:rPr>
              <w:t>建设智慧文旅指挥调度监测系统二期系统运行稳定率</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质量达标率=（质量达标产出数/实际产出数）×100%。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得分=质量达标率*分值权重</w:t>
            </w:r>
          </w:p>
        </w:tc>
        <w:tc>
          <w:tcPr>
            <w:tcW w:w="419"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送戏下乡资金支付和合同完成</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质量达标率=（质量达标产出数/实际产出数）×100%。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得分=质量达标率*分值权重</w:t>
            </w:r>
          </w:p>
        </w:tc>
        <w:tc>
          <w:tcPr>
            <w:tcW w:w="419" w:type="pct"/>
            <w:shd w:val="clear" w:color="000000" w:fill="FFFFFF"/>
            <w:noWrap w:val="0"/>
            <w:vAlign w:val="center"/>
          </w:tcPr>
          <w:p>
            <w:pPr>
              <w:widowControl/>
              <w:spacing w:line="240" w:lineRule="exact"/>
              <w:ind w:left="-63" w:leftChars="-30" w:right="-63" w:rightChars="-30"/>
              <w:jc w:val="center"/>
              <w:rPr>
                <w:rFonts w:hint="default"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eastAsia="zh-CN"/>
              </w:rPr>
            </w:pPr>
            <w:r>
              <w:rPr>
                <w:rFonts w:hint="eastAsia" w:ascii="黑体" w:hAnsi="宋体" w:eastAsia="黑体" w:cs="宋体"/>
                <w:color w:val="000000"/>
                <w:kern w:val="0"/>
                <w:sz w:val="20"/>
              </w:rPr>
              <w:t>产出时效</w:t>
            </w: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lang w:val="en-US" w:eastAsia="zh-CN"/>
              </w:rPr>
              <w:t>5分</w:t>
            </w:r>
            <w:r>
              <w:rPr>
                <w:rFonts w:hint="eastAsia" w:ascii="黑体" w:hAnsi="宋体" w:eastAsia="黑体" w:cs="宋体"/>
                <w:color w:val="000000"/>
                <w:kern w:val="0"/>
                <w:sz w:val="20"/>
                <w:lang w:eastAsia="zh-CN"/>
              </w:rPr>
              <w:t>）</w:t>
            </w:r>
          </w:p>
        </w:tc>
        <w:tc>
          <w:tcPr>
            <w:tcW w:w="703" w:type="pct"/>
            <w:shd w:val="clear" w:color="auto"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工作完成及时率</w:t>
            </w:r>
          </w:p>
        </w:tc>
        <w:tc>
          <w:tcPr>
            <w:tcW w:w="415" w:type="pct"/>
            <w:shd w:val="clear" w:color="000000"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5</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时效及时率=（时效产出数/实际产出数）×100%。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得分=时效及时率*分值权重</w:t>
            </w:r>
          </w:p>
        </w:tc>
        <w:tc>
          <w:tcPr>
            <w:tcW w:w="419"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shd w:val="clear" w:color="auto" w:fill="FFFFFF"/>
            <w:noWrap w:val="0"/>
            <w:vAlign w:val="center"/>
          </w:tcPr>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rPr>
              <w:t>产出成本</w:t>
            </w: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lang w:val="en-US" w:eastAsia="zh-CN"/>
              </w:rPr>
              <w:t>10分</w:t>
            </w:r>
            <w:r>
              <w:rPr>
                <w:rFonts w:hint="eastAsia" w:ascii="黑体" w:hAnsi="宋体" w:eastAsia="黑体" w:cs="宋体"/>
                <w:color w:val="000000"/>
                <w:kern w:val="0"/>
                <w:sz w:val="20"/>
                <w:lang w:eastAsia="zh-CN"/>
              </w:rPr>
              <w:t>）</w:t>
            </w:r>
          </w:p>
        </w:tc>
        <w:tc>
          <w:tcPr>
            <w:tcW w:w="703" w:type="pct"/>
            <w:shd w:val="clear" w:color="auto"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全年资金支付率</w:t>
            </w:r>
          </w:p>
        </w:tc>
        <w:tc>
          <w:tcPr>
            <w:tcW w:w="415" w:type="pct"/>
            <w:shd w:val="clear" w:color="000000"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10</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全年资金支付率=（实际支出数/计划数）×100%。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得分=结算率*分支权重</w:t>
            </w:r>
          </w:p>
        </w:tc>
        <w:tc>
          <w:tcPr>
            <w:tcW w:w="419" w:type="pct"/>
            <w:shd w:val="clear" w:color="000000"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restart"/>
            <w:shd w:val="clear" w:color="auto" w:fill="FFFFFF"/>
            <w:noWrap w:val="0"/>
            <w:vAlign w:val="center"/>
          </w:tcPr>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rPr>
              <w:t>效益</w:t>
            </w:r>
          </w:p>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lang w:val="en-US" w:eastAsia="zh-CN"/>
              </w:rPr>
              <w:t>25分</w:t>
            </w: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rPr>
              <w:t>　</w:t>
            </w:r>
          </w:p>
        </w:tc>
        <w:tc>
          <w:tcPr>
            <w:tcW w:w="586" w:type="pct"/>
            <w:shd w:val="clear" w:color="auto" w:fill="FFFFFF"/>
            <w:noWrap w:val="0"/>
            <w:vAlign w:val="center"/>
          </w:tcPr>
          <w:p>
            <w:pPr>
              <w:widowControl/>
              <w:spacing w:line="240" w:lineRule="exact"/>
              <w:ind w:left="-63" w:leftChars="-30" w:right="-63" w:rightChars="-30"/>
              <w:jc w:val="center"/>
              <w:rPr>
                <w:rFonts w:hint="eastAsia"/>
                <w:lang w:eastAsia="zh-CN"/>
              </w:rPr>
            </w:pPr>
            <w:r>
              <w:rPr>
                <w:rFonts w:hint="eastAsia" w:ascii="黑体" w:hAnsi="宋体" w:eastAsia="黑体" w:cs="宋体"/>
                <w:color w:val="000000"/>
                <w:kern w:val="0"/>
                <w:sz w:val="20"/>
                <w:lang w:val="en-US" w:eastAsia="zh-CN"/>
              </w:rPr>
              <w:t>经济效益</w:t>
            </w:r>
          </w:p>
        </w:tc>
        <w:tc>
          <w:tcPr>
            <w:tcW w:w="703" w:type="pct"/>
            <w:shd w:val="clear" w:color="auto" w:fill="FFFFFF"/>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无</w:t>
            </w:r>
          </w:p>
        </w:tc>
        <w:tc>
          <w:tcPr>
            <w:tcW w:w="415" w:type="pct"/>
            <w:shd w:val="clear" w:color="auto"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p>
        </w:tc>
        <w:tc>
          <w:tcPr>
            <w:tcW w:w="2391"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p>
        </w:tc>
        <w:tc>
          <w:tcPr>
            <w:tcW w:w="419" w:type="pct"/>
            <w:shd w:val="clear" w:color="auto"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restar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rPr>
              <w:t>社会效益</w:t>
            </w: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lang w:val="en-US" w:eastAsia="zh-CN"/>
              </w:rPr>
              <w:t>8分</w:t>
            </w:r>
            <w:r>
              <w:rPr>
                <w:rFonts w:hint="eastAsia" w:ascii="黑体" w:hAnsi="宋体" w:eastAsia="黑体" w:cs="宋体"/>
                <w:color w:val="000000"/>
                <w:kern w:val="0"/>
                <w:sz w:val="20"/>
                <w:lang w:eastAsia="zh-CN"/>
              </w:rPr>
              <w:t>）</w:t>
            </w:r>
          </w:p>
          <w:p>
            <w:pPr>
              <w:widowControl/>
              <w:spacing w:line="240" w:lineRule="exact"/>
              <w:jc w:val="center"/>
              <w:rPr>
                <w:rFonts w:hint="eastAsia" w:ascii="黑体" w:hAnsi="宋体" w:eastAsia="黑体" w:cs="宋体"/>
                <w:color w:val="000000"/>
                <w:kern w:val="0"/>
                <w:sz w:val="20"/>
                <w:lang w:eastAsia="zh-CN"/>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4"/>
                <w:lang w:val="en-US" w:eastAsia="zh-CN" w:bidi="ar-SA"/>
              </w:rPr>
            </w:pPr>
            <w:r>
              <w:rPr>
                <w:rFonts w:hint="eastAsia" w:ascii="黑体" w:hAnsi="宋体" w:eastAsia="黑体" w:cs="宋体"/>
                <w:color w:val="000000"/>
                <w:kern w:val="0"/>
                <w:sz w:val="20"/>
                <w:lang w:val="en-US" w:eastAsia="zh-CN"/>
              </w:rPr>
              <w:t>提高社会群众对我市文旅发展认知</w:t>
            </w:r>
          </w:p>
        </w:tc>
        <w:tc>
          <w:tcPr>
            <w:tcW w:w="415"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2</w:t>
            </w:r>
          </w:p>
        </w:tc>
        <w:tc>
          <w:tcPr>
            <w:tcW w:w="2391"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达到或超过预期值得满分，未达到预期值按比例扣分。</w:t>
            </w:r>
          </w:p>
        </w:tc>
        <w:tc>
          <w:tcPr>
            <w:tcW w:w="419" w:type="pct"/>
            <w:shd w:val="clear" w:color="auto" w:fill="FFFFFF"/>
            <w:noWrap w:val="0"/>
            <w:vAlign w:val="center"/>
          </w:tcPr>
          <w:p>
            <w:pPr>
              <w:widowControl/>
              <w:spacing w:line="240" w:lineRule="exact"/>
              <w:ind w:left="-63" w:leftChars="-30" w:right="-63" w:rightChars="-30"/>
              <w:jc w:val="center"/>
              <w:rPr>
                <w:rFonts w:hint="default"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lang w:eastAsia="zh-CN"/>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提升南昌旅游一卡通的社会影响力，群众知晓率</w:t>
            </w:r>
          </w:p>
        </w:tc>
        <w:tc>
          <w:tcPr>
            <w:tcW w:w="415" w:type="pc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2</w:t>
            </w:r>
          </w:p>
        </w:tc>
        <w:tc>
          <w:tcPr>
            <w:tcW w:w="2391"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lang w:eastAsia="zh-CN"/>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提升藏品展示效果，提高文物安保措施</w:t>
            </w:r>
          </w:p>
        </w:tc>
        <w:tc>
          <w:tcPr>
            <w:tcW w:w="415" w:type="pc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2</w:t>
            </w:r>
          </w:p>
        </w:tc>
        <w:tc>
          <w:tcPr>
            <w:tcW w:w="2391"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lang w:eastAsia="zh-CN"/>
              </w:rPr>
            </w:pPr>
          </w:p>
        </w:tc>
        <w:tc>
          <w:tcPr>
            <w:tcW w:w="703" w:type="pct"/>
            <w:shd w:val="clear" w:color="auto" w:fill="FFFFFF"/>
            <w:noWrap w:val="0"/>
            <w:vAlign w:val="center"/>
          </w:tcPr>
          <w:p>
            <w:pPr>
              <w:widowControl/>
              <w:spacing w:line="240" w:lineRule="exact"/>
              <w:ind w:left="-63" w:leftChars="-30" w:right="-63" w:rightChars="-30"/>
              <w:jc w:val="center"/>
              <w:rPr>
                <w:rFonts w:hint="default"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南昌城市品牌影响力提升</w:t>
            </w:r>
          </w:p>
        </w:tc>
        <w:tc>
          <w:tcPr>
            <w:tcW w:w="415" w:type="pct"/>
            <w:shd w:val="clear" w:color="auto" w:fill="FFFFFF"/>
            <w:noWrap w:val="0"/>
            <w:vAlign w:val="center"/>
          </w:tcPr>
          <w:p>
            <w:pPr>
              <w:widowControl/>
              <w:spacing w:line="240" w:lineRule="exact"/>
              <w:jc w:val="center"/>
              <w:rPr>
                <w:rFonts w:hint="default"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2</w:t>
            </w:r>
          </w:p>
        </w:tc>
        <w:tc>
          <w:tcPr>
            <w:tcW w:w="2391"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center"/>
              <w:rPr>
                <w:rFonts w:hint="default"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rPr>
              <w:t>生态效益</w:t>
            </w: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lang w:val="en-US" w:eastAsia="zh-CN"/>
              </w:rPr>
              <w:t>3分</w:t>
            </w:r>
            <w:r>
              <w:rPr>
                <w:rFonts w:hint="eastAsia" w:ascii="黑体" w:hAnsi="宋体" w:eastAsia="黑体" w:cs="宋体"/>
                <w:color w:val="000000"/>
                <w:kern w:val="0"/>
                <w:sz w:val="20"/>
                <w:lang w:eastAsia="zh-CN"/>
              </w:rPr>
              <w:t>）</w:t>
            </w:r>
          </w:p>
        </w:tc>
        <w:tc>
          <w:tcPr>
            <w:tcW w:w="703" w:type="pc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维修维护环保材料采用率</w:t>
            </w:r>
          </w:p>
        </w:tc>
        <w:tc>
          <w:tcPr>
            <w:tcW w:w="415" w:type="pc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3</w:t>
            </w:r>
          </w:p>
        </w:tc>
        <w:tc>
          <w:tcPr>
            <w:tcW w:w="2391"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restar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rPr>
              <w:t>可持续效益</w:t>
            </w: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lang w:val="en-US" w:eastAsia="zh-CN"/>
              </w:rPr>
              <w:t>14分</w:t>
            </w:r>
            <w:r>
              <w:rPr>
                <w:rFonts w:hint="eastAsia" w:ascii="黑体" w:hAnsi="宋体" w:eastAsia="黑体" w:cs="宋体"/>
                <w:color w:val="000000"/>
                <w:kern w:val="0"/>
                <w:sz w:val="20"/>
                <w:lang w:eastAsia="zh-CN"/>
              </w:rPr>
              <w:t>）</w:t>
            </w:r>
          </w:p>
          <w:p>
            <w:pPr>
              <w:widowControl/>
              <w:spacing w:line="240" w:lineRule="exact"/>
              <w:jc w:val="center"/>
              <w:rPr>
                <w:rFonts w:hint="eastAsia" w:ascii="黑体" w:hAnsi="宋体" w:eastAsia="黑体" w:cs="宋体"/>
                <w:color w:val="000000"/>
                <w:kern w:val="0"/>
                <w:sz w:val="20"/>
                <w:lang w:eastAsia="zh-CN"/>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持续提升我市文化旅游产业影响力</w:t>
            </w:r>
          </w:p>
        </w:tc>
        <w:tc>
          <w:tcPr>
            <w:tcW w:w="415" w:type="pc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2</w:t>
            </w:r>
          </w:p>
        </w:tc>
        <w:tc>
          <w:tcPr>
            <w:tcW w:w="2391"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lang w:eastAsia="zh-CN"/>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管理机制健全性</w:t>
            </w:r>
          </w:p>
        </w:tc>
        <w:tc>
          <w:tcPr>
            <w:tcW w:w="415" w:type="pc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2</w:t>
            </w:r>
          </w:p>
        </w:tc>
        <w:tc>
          <w:tcPr>
            <w:tcW w:w="2391"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lang w:eastAsia="zh-CN"/>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保障导游员队伍建设</w:t>
            </w:r>
          </w:p>
        </w:tc>
        <w:tc>
          <w:tcPr>
            <w:tcW w:w="415" w:type="pc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2</w:t>
            </w:r>
          </w:p>
        </w:tc>
        <w:tc>
          <w:tcPr>
            <w:tcW w:w="2391"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lang w:eastAsia="zh-CN"/>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Cs w:val="21"/>
                <w:lang w:val="en-US" w:eastAsia="zh-CN"/>
              </w:rPr>
              <w:t>游客观赏能力显著提升</w:t>
            </w:r>
          </w:p>
        </w:tc>
        <w:tc>
          <w:tcPr>
            <w:tcW w:w="415" w:type="pc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2</w:t>
            </w:r>
          </w:p>
        </w:tc>
        <w:tc>
          <w:tcPr>
            <w:tcW w:w="2391"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lang w:eastAsia="zh-CN"/>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rPr>
              <w:t>不断促进文化和旅游消费热情</w:t>
            </w:r>
          </w:p>
        </w:tc>
        <w:tc>
          <w:tcPr>
            <w:tcW w:w="415" w:type="pc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2</w:t>
            </w:r>
          </w:p>
        </w:tc>
        <w:tc>
          <w:tcPr>
            <w:tcW w:w="2391"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lang w:eastAsia="zh-CN"/>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Cs w:val="21"/>
                <w:lang w:val="en-US" w:eastAsia="zh-CN"/>
              </w:rPr>
              <w:t>促进了非国有博物馆事业持续发展</w:t>
            </w:r>
          </w:p>
        </w:tc>
        <w:tc>
          <w:tcPr>
            <w:tcW w:w="415" w:type="pc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2</w:t>
            </w:r>
          </w:p>
        </w:tc>
        <w:tc>
          <w:tcPr>
            <w:tcW w:w="2391"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lang w:eastAsia="zh-CN"/>
              </w:rPr>
            </w:pPr>
          </w:p>
        </w:tc>
        <w:tc>
          <w:tcPr>
            <w:tcW w:w="703" w:type="pct"/>
            <w:shd w:val="clear" w:color="auto" w:fill="FFFFFF"/>
            <w:noWrap w:val="0"/>
            <w:vAlign w:val="center"/>
          </w:tcPr>
          <w:p>
            <w:pPr>
              <w:widowControl/>
              <w:spacing w:line="240" w:lineRule="exact"/>
              <w:ind w:left="-63" w:leftChars="-30" w:right="-63" w:rightChars="-30"/>
              <w:jc w:val="center"/>
              <w:rPr>
                <w:rFonts w:hint="default"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持续保障基本公共文化服务</w:t>
            </w:r>
          </w:p>
        </w:tc>
        <w:tc>
          <w:tcPr>
            <w:tcW w:w="415" w:type="pct"/>
            <w:shd w:val="clear" w:color="auto" w:fill="FFFFFF"/>
            <w:noWrap w:val="0"/>
            <w:vAlign w:val="center"/>
          </w:tcPr>
          <w:p>
            <w:pPr>
              <w:widowControl/>
              <w:spacing w:line="240" w:lineRule="exact"/>
              <w:jc w:val="center"/>
              <w:rPr>
                <w:rFonts w:hint="default"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2</w:t>
            </w:r>
          </w:p>
        </w:tc>
        <w:tc>
          <w:tcPr>
            <w:tcW w:w="2391"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center"/>
              <w:rPr>
                <w:rFonts w:hint="default"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restart"/>
            <w:shd w:val="clear" w:color="auto" w:fill="FFFFFF"/>
            <w:noWrap w:val="0"/>
            <w:vAlign w:val="center"/>
          </w:tcPr>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rPr>
              <w:t>满意度</w:t>
            </w:r>
          </w:p>
          <w:p>
            <w:pPr>
              <w:widowControl/>
              <w:spacing w:line="240" w:lineRule="exact"/>
              <w:jc w:val="center"/>
              <w:rPr>
                <w:rFonts w:hint="eastAsia" w:ascii="黑体" w:hAnsi="宋体" w:eastAsia="黑体" w:cs="宋体"/>
                <w:color w:val="000000"/>
                <w:kern w:val="0"/>
                <w:sz w:val="20"/>
                <w:lang w:eastAsia="zh-CN"/>
              </w:rPr>
            </w:pP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lang w:val="en-US" w:eastAsia="zh-CN"/>
              </w:rPr>
              <w:t>10分</w:t>
            </w:r>
            <w:r>
              <w:rPr>
                <w:rFonts w:hint="eastAsia" w:ascii="黑体" w:hAnsi="宋体" w:eastAsia="黑体" w:cs="宋体"/>
                <w:color w:val="000000"/>
                <w:kern w:val="0"/>
                <w:sz w:val="20"/>
                <w:lang w:eastAsia="zh-CN"/>
              </w:rPr>
              <w:t>）</w:t>
            </w:r>
          </w:p>
        </w:tc>
        <w:tc>
          <w:tcPr>
            <w:tcW w:w="586" w:type="pct"/>
            <w:vMerge w:val="restar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rPr>
              <w:t>社会公众或服务对象满意度</w:t>
            </w: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lang w:val="en-US" w:eastAsia="zh-CN"/>
              </w:rPr>
              <w:t>10分</w:t>
            </w:r>
            <w:r>
              <w:rPr>
                <w:rFonts w:hint="eastAsia" w:ascii="黑体" w:hAnsi="宋体" w:eastAsia="黑体" w:cs="宋体"/>
                <w:color w:val="000000"/>
                <w:kern w:val="0"/>
                <w:sz w:val="20"/>
                <w:lang w:eastAsia="zh-CN"/>
              </w:rPr>
              <w:t>）</w:t>
            </w:r>
          </w:p>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观众满意度</w:t>
            </w:r>
          </w:p>
        </w:tc>
        <w:tc>
          <w:tcPr>
            <w:tcW w:w="415" w:type="pc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4</w:t>
            </w:r>
          </w:p>
        </w:tc>
        <w:tc>
          <w:tcPr>
            <w:tcW w:w="2391"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lang w:eastAsia="zh-CN"/>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游客满意度</w:t>
            </w:r>
          </w:p>
        </w:tc>
        <w:tc>
          <w:tcPr>
            <w:tcW w:w="415" w:type="pc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3</w:t>
            </w:r>
          </w:p>
        </w:tc>
        <w:tc>
          <w:tcPr>
            <w:tcW w:w="2391"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lang w:eastAsia="zh-CN"/>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default"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群众满意度</w:t>
            </w:r>
          </w:p>
        </w:tc>
        <w:tc>
          <w:tcPr>
            <w:tcW w:w="415" w:type="pct"/>
            <w:shd w:val="clear" w:color="auto" w:fill="FFFFFF"/>
            <w:noWrap w:val="0"/>
            <w:vAlign w:val="center"/>
          </w:tcPr>
          <w:p>
            <w:pPr>
              <w:widowControl/>
              <w:spacing w:line="240" w:lineRule="exact"/>
              <w:jc w:val="center"/>
              <w:rPr>
                <w:rFonts w:hint="default"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3</w:t>
            </w:r>
          </w:p>
        </w:tc>
        <w:tc>
          <w:tcPr>
            <w:tcW w:w="2391"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center"/>
              <w:rPr>
                <w:rFonts w:hint="default"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580" w:type="pct"/>
            <w:gridSpan w:val="5"/>
            <w:shd w:val="clear" w:color="auto" w:fill="FFFFFF"/>
            <w:noWrap w:val="0"/>
            <w:vAlign w:val="center"/>
          </w:tcPr>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rPr>
              <w:t>总分</w:t>
            </w:r>
          </w:p>
        </w:tc>
        <w:tc>
          <w:tcPr>
            <w:tcW w:w="419" w:type="pct"/>
            <w:shd w:val="clear" w:color="auto"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93.98</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560" w:firstLineChars="200"/>
        <w:textAlignment w:val="auto"/>
        <w:rPr>
          <w:rFonts w:hint="eastAsia" w:ascii="黑体" w:hAnsi="黑体" w:eastAsia="黑体" w:cs="Times New Roman"/>
          <w:sz w:val="28"/>
          <w:szCs w:val="28"/>
        </w:rPr>
      </w:pPr>
      <w:r>
        <w:rPr>
          <w:rFonts w:hint="eastAsia" w:ascii="黑体" w:hAnsi="黑体" w:eastAsia="黑体" w:cs="Times New Roman"/>
          <w:sz w:val="28"/>
          <w:szCs w:val="28"/>
        </w:rPr>
        <w:t>四、绩效评价指标分析</w:t>
      </w:r>
    </w:p>
    <w:p>
      <w:pPr>
        <w:keepNext w:val="0"/>
        <w:keepLines w:val="0"/>
        <w:pageBreakBefore w:val="0"/>
        <w:widowControl w:val="0"/>
        <w:kinsoku/>
        <w:wordWrap/>
        <w:overflowPunct/>
        <w:topLinePunct w:val="0"/>
        <w:autoSpaceDE/>
        <w:autoSpaceDN/>
        <w:bidi w:val="0"/>
        <w:adjustRightInd/>
        <w:snapToGrid/>
        <w:spacing w:line="600" w:lineRule="exact"/>
        <w:ind w:leftChars="0" w:firstLine="562" w:firstLineChars="200"/>
        <w:textAlignment w:val="auto"/>
        <w:outlineLvl w:val="0"/>
        <w:rPr>
          <w:rFonts w:hint="eastAsia" w:ascii="楷体_GB2312" w:hAnsi="Calibri" w:eastAsia="楷体_GB2312" w:cs="Times New Roman"/>
          <w:b/>
          <w:color w:val="000000"/>
          <w:sz w:val="28"/>
          <w:szCs w:val="28"/>
        </w:rPr>
      </w:pPr>
      <w:r>
        <w:rPr>
          <w:rFonts w:hint="eastAsia" w:ascii="楷体_GB2312" w:hAnsi="Calibri" w:eastAsia="楷体_GB2312" w:cs="Times New Roman"/>
          <w:b/>
          <w:color w:val="000000"/>
          <w:sz w:val="28"/>
          <w:szCs w:val="28"/>
        </w:rPr>
        <w:t>（一）项目决策情况</w:t>
      </w:r>
    </w:p>
    <w:p>
      <w:pPr>
        <w:keepNext w:val="0"/>
        <w:keepLines w:val="0"/>
        <w:pageBreakBefore w:val="0"/>
        <w:widowControl w:val="0"/>
        <w:kinsoku/>
        <w:wordWrap/>
        <w:overflowPunct/>
        <w:topLinePunct w:val="0"/>
        <w:autoSpaceDE/>
        <w:autoSpaceDN/>
        <w:bidi w:val="0"/>
        <w:adjustRightInd/>
        <w:snapToGrid/>
        <w:spacing w:line="600" w:lineRule="exact"/>
        <w:ind w:leftChars="0" w:firstLine="562" w:firstLineChars="200"/>
        <w:textAlignment w:val="auto"/>
        <w:outlineLvl w:val="0"/>
        <w:rPr>
          <w:rFonts w:hint="eastAsia" w:ascii="楷体_GB2312" w:hAnsi="Calibri" w:eastAsia="楷体_GB2312" w:cs="Times New Roman"/>
          <w:b/>
          <w:color w:val="000000"/>
          <w:sz w:val="28"/>
          <w:szCs w:val="28"/>
          <w:lang w:val="en-US" w:eastAsia="zh-CN"/>
        </w:rPr>
      </w:pPr>
      <w:r>
        <w:rPr>
          <w:rFonts w:hint="eastAsia" w:ascii="楷体_GB2312" w:hAnsi="Calibri" w:eastAsia="楷体_GB2312" w:cs="Times New Roman"/>
          <w:b/>
          <w:color w:val="000000"/>
          <w:sz w:val="28"/>
          <w:szCs w:val="28"/>
          <w:lang w:val="en-US" w:eastAsia="zh-CN"/>
        </w:rPr>
        <w:t>1、项目立项</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立项依据充分性：1、本单位项目立项符合国家法律法规、国民经济发展规划和相关政策，本次得分0.5分；2、项目立项符合行业发展规划和政策要求，本次得分0.5分；3、项目立项与部门职责范围相符，属于部门履职所需，本次得分0.5分；4、项目属于公共财政支持范围，符合中央、地方事权支出责任划分原则，本次得分0.5分；5、项目与相关部门同类项目或部门内部相关项目不重复，本次得分0.5分。</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立项程序规范性：1、项目按照规定的程序申请设立，得0.8分；2、审批文件、材料符合相关要求，本次得分0.8分；3、事前经过必要的可行性研究、风险评估、绩效评估、集体决策，本次得分0.9分。</w:t>
      </w:r>
    </w:p>
    <w:p>
      <w:pPr>
        <w:keepNext w:val="0"/>
        <w:keepLines w:val="0"/>
        <w:pageBreakBefore w:val="0"/>
        <w:widowControl w:val="0"/>
        <w:kinsoku/>
        <w:wordWrap/>
        <w:overflowPunct/>
        <w:topLinePunct w:val="0"/>
        <w:autoSpaceDE/>
        <w:autoSpaceDN/>
        <w:bidi w:val="0"/>
        <w:adjustRightInd/>
        <w:snapToGrid/>
        <w:spacing w:line="600" w:lineRule="exact"/>
        <w:ind w:leftChars="0" w:firstLine="562" w:firstLineChars="200"/>
        <w:textAlignment w:val="auto"/>
        <w:outlineLvl w:val="0"/>
        <w:rPr>
          <w:rFonts w:hint="eastAsia" w:ascii="黑体" w:hAnsi="Times New Roman" w:eastAsia="黑体" w:cs="Times New Roman"/>
          <w:sz w:val="32"/>
          <w:szCs w:val="32"/>
          <w:lang w:val="en-US" w:eastAsia="zh-CN"/>
        </w:rPr>
      </w:pPr>
      <w:r>
        <w:rPr>
          <w:rFonts w:hint="eastAsia" w:ascii="楷体_GB2312" w:hAnsi="Calibri" w:eastAsia="楷体_GB2312" w:cs="Times New Roman"/>
          <w:b/>
          <w:color w:val="000000"/>
          <w:sz w:val="28"/>
          <w:szCs w:val="28"/>
          <w:lang w:val="en-US" w:eastAsia="zh-CN"/>
        </w:rPr>
        <w:t>2、绩效目标</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绩效目标合理性：1、本项目有绩效目标，本次得分1.25分；2、项目绩效目标与实际工作内容具有相关性，本次得分1.25分；3、项目预期产出效益和效果符合正常的业绩水平，本次得分1.25分；4、本项目与预算确定的项目投资额或资金量相匹配，本次得分1.25分。</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绩效指标明确性：1、本年度将项目绩效目标细化分解为具体的绩效指标，本次得分2分；2、本项目通过清晰、可衡量的指标值予以体现，本次得分1.5分；3、本项目与项目目标任务数或计划数相对应，本次得分1.5分。</w:t>
      </w:r>
    </w:p>
    <w:p>
      <w:pPr>
        <w:keepNext w:val="0"/>
        <w:keepLines w:val="0"/>
        <w:pageBreakBefore w:val="0"/>
        <w:widowControl w:val="0"/>
        <w:kinsoku/>
        <w:wordWrap/>
        <w:overflowPunct/>
        <w:topLinePunct w:val="0"/>
        <w:autoSpaceDE/>
        <w:autoSpaceDN/>
        <w:bidi w:val="0"/>
        <w:adjustRightInd/>
        <w:snapToGrid/>
        <w:spacing w:line="600" w:lineRule="exact"/>
        <w:ind w:leftChars="0" w:firstLine="562" w:firstLineChars="200"/>
        <w:textAlignment w:val="auto"/>
        <w:outlineLvl w:val="0"/>
        <w:rPr>
          <w:rFonts w:hint="eastAsia" w:ascii="黑体" w:hAnsi="Times New Roman" w:eastAsia="黑体" w:cs="Times New Roman"/>
          <w:sz w:val="32"/>
          <w:szCs w:val="32"/>
          <w:lang w:val="en-US" w:eastAsia="zh-CN"/>
        </w:rPr>
      </w:pPr>
      <w:r>
        <w:rPr>
          <w:rFonts w:hint="eastAsia" w:ascii="楷体_GB2312" w:hAnsi="Calibri" w:eastAsia="楷体_GB2312" w:cs="Times New Roman"/>
          <w:b/>
          <w:color w:val="000000"/>
          <w:sz w:val="28"/>
          <w:szCs w:val="28"/>
          <w:lang w:val="en-US" w:eastAsia="zh-CN"/>
        </w:rPr>
        <w:t>3、资金投入</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预算编制科学性：1、预算编制经过科学论证，本次得分0.6分；2、预算内容与项目内容相匹配，本次得分0.7分；3、预算额度测算依据充分，按照标准编制，本次得分0.6分；4、预算确定的项目投资额或资金量与工作任务相匹配，本次得分0.6分。</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资金分配合理性：1、预算资金分配依据充分合理，本次得分1.25分；2、资金分配额度合理，与项目单位或地方实际相适应，本次得分1.25分。</w:t>
      </w:r>
    </w:p>
    <w:p>
      <w:pPr>
        <w:keepNext w:val="0"/>
        <w:keepLines w:val="0"/>
        <w:pageBreakBefore w:val="0"/>
        <w:widowControl w:val="0"/>
        <w:kinsoku/>
        <w:wordWrap/>
        <w:overflowPunct/>
        <w:topLinePunct w:val="0"/>
        <w:autoSpaceDE/>
        <w:autoSpaceDN/>
        <w:bidi w:val="0"/>
        <w:adjustRightInd/>
        <w:snapToGrid/>
        <w:spacing w:line="600" w:lineRule="exact"/>
        <w:ind w:leftChars="0" w:firstLine="562" w:firstLineChars="200"/>
        <w:textAlignment w:val="auto"/>
        <w:outlineLvl w:val="0"/>
        <w:rPr>
          <w:rFonts w:hint="eastAsia" w:ascii="黑体" w:eastAsia="黑体"/>
          <w:sz w:val="32"/>
          <w:szCs w:val="32"/>
        </w:rPr>
      </w:pPr>
      <w:r>
        <w:rPr>
          <w:rFonts w:hint="eastAsia" w:ascii="楷体_GB2312" w:hAnsi="Calibri" w:eastAsia="楷体_GB2312" w:cs="Times New Roman"/>
          <w:b/>
          <w:color w:val="000000"/>
          <w:sz w:val="28"/>
          <w:szCs w:val="28"/>
        </w:rPr>
        <w:t>（二）项目过程情况</w:t>
      </w:r>
    </w:p>
    <w:p>
      <w:pPr>
        <w:keepNext w:val="0"/>
        <w:keepLines w:val="0"/>
        <w:pageBreakBefore w:val="0"/>
        <w:widowControl w:val="0"/>
        <w:kinsoku/>
        <w:wordWrap/>
        <w:overflowPunct/>
        <w:topLinePunct w:val="0"/>
        <w:autoSpaceDE/>
        <w:autoSpaceDN/>
        <w:bidi w:val="0"/>
        <w:adjustRightInd/>
        <w:snapToGrid/>
        <w:spacing w:line="600" w:lineRule="exact"/>
        <w:ind w:leftChars="0" w:firstLine="562" w:firstLineChars="200"/>
        <w:textAlignment w:val="auto"/>
        <w:outlineLvl w:val="0"/>
        <w:rPr>
          <w:rFonts w:hint="eastAsia" w:ascii="楷体_GB2312" w:hAnsi="Calibri" w:eastAsia="楷体_GB2312" w:cs="Times New Roman"/>
          <w:b/>
          <w:color w:val="000000"/>
          <w:sz w:val="28"/>
          <w:szCs w:val="28"/>
          <w:lang w:val="en-US" w:eastAsia="zh-CN"/>
        </w:rPr>
      </w:pPr>
      <w:r>
        <w:rPr>
          <w:rFonts w:hint="eastAsia" w:ascii="楷体_GB2312" w:hAnsi="Calibri" w:eastAsia="楷体_GB2312" w:cs="Times New Roman"/>
          <w:b/>
          <w:color w:val="000000"/>
          <w:sz w:val="28"/>
          <w:szCs w:val="28"/>
          <w:lang w:val="en-US" w:eastAsia="zh-CN"/>
        </w:rPr>
        <w:t>1、资金管理</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资金到位率：2021年市财政预算安排资金8800万元，截止2021年12月31日市财政下拨8800万元，资金到位率100%，本次得分2.5分。</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预算执行率：2021年市财政预算安排资金8800万元，截止2021年12月31日本单位实际支出4638.61元，资金预算执行率为54.98%，本次得分1.38分。</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资金使用合规性：1、本单位项目实施符合国家财经法规和财务管理制度以及有关专项资金管理办法的规定，本次得分1.25分；2、资金的拨付有完整的审批程序和手续，本次得分1.25分；3、符合项目预算批复或合同规定的用途，本次得分1.25分；4、不存在截留、挤占、挪用、虚列支出等情况，本次得分1.25分。</w:t>
      </w:r>
    </w:p>
    <w:p>
      <w:pPr>
        <w:keepNext w:val="0"/>
        <w:keepLines w:val="0"/>
        <w:pageBreakBefore w:val="0"/>
        <w:widowControl w:val="0"/>
        <w:kinsoku/>
        <w:wordWrap/>
        <w:overflowPunct/>
        <w:topLinePunct w:val="0"/>
        <w:autoSpaceDE/>
        <w:autoSpaceDN/>
        <w:bidi w:val="0"/>
        <w:adjustRightInd/>
        <w:snapToGrid/>
        <w:spacing w:line="600" w:lineRule="exact"/>
        <w:ind w:leftChars="0" w:firstLine="562" w:firstLineChars="200"/>
        <w:textAlignment w:val="auto"/>
        <w:outlineLvl w:val="0"/>
        <w:rPr>
          <w:rFonts w:hint="eastAsia" w:ascii="楷体_GB2312" w:hAnsi="Calibri" w:eastAsia="楷体_GB2312" w:cs="Times New Roman"/>
          <w:b/>
          <w:color w:val="000000"/>
          <w:sz w:val="28"/>
          <w:szCs w:val="28"/>
          <w:lang w:val="en-US" w:eastAsia="zh-CN"/>
        </w:rPr>
      </w:pPr>
      <w:r>
        <w:rPr>
          <w:rFonts w:hint="eastAsia" w:ascii="楷体_GB2312" w:hAnsi="Calibri" w:eastAsia="楷体_GB2312" w:cs="Times New Roman"/>
          <w:b/>
          <w:color w:val="000000"/>
          <w:sz w:val="28"/>
          <w:szCs w:val="28"/>
          <w:lang w:val="en-US" w:eastAsia="zh-CN"/>
        </w:rPr>
        <w:t>2、组织实施</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管理制度健全性：1、已制定或具有相应的财务和业务管理制度，本次得分1.25分；2、财务和业务管理制度合法、合规、完整，本次得分1.25分。</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制度执行有效性：1、本单位项目支出遵守相关法律法规和相关管理规定，本次得分0.6分；2、项目调整及支出调整手续完备，本次得分0.6分；3、项目合同书、验收报告、技术鉴定等资料齐全并及时归档，本次得分0.6分；4、项目实施的人员条件、场地设备、信息支撑等落实到位，本次得分0.7分。</w:t>
      </w:r>
    </w:p>
    <w:p>
      <w:pPr>
        <w:keepNext w:val="0"/>
        <w:keepLines w:val="0"/>
        <w:pageBreakBefore w:val="0"/>
        <w:widowControl w:val="0"/>
        <w:kinsoku/>
        <w:wordWrap/>
        <w:overflowPunct/>
        <w:topLinePunct w:val="0"/>
        <w:autoSpaceDE/>
        <w:autoSpaceDN/>
        <w:bidi w:val="0"/>
        <w:adjustRightInd/>
        <w:snapToGrid/>
        <w:spacing w:line="600" w:lineRule="exact"/>
        <w:ind w:leftChars="0" w:firstLine="562" w:firstLineChars="200"/>
        <w:textAlignment w:val="auto"/>
        <w:outlineLvl w:val="0"/>
        <w:rPr>
          <w:rFonts w:hint="eastAsia" w:ascii="楷体_GB2312" w:hAnsi="Calibri" w:eastAsia="楷体_GB2312" w:cs="Times New Roman"/>
          <w:b/>
          <w:color w:val="000000"/>
          <w:sz w:val="28"/>
          <w:szCs w:val="28"/>
        </w:rPr>
      </w:pPr>
      <w:r>
        <w:rPr>
          <w:rFonts w:hint="eastAsia" w:ascii="楷体_GB2312" w:hAnsi="Calibri" w:eastAsia="楷体_GB2312" w:cs="Times New Roman"/>
          <w:b/>
          <w:color w:val="000000"/>
          <w:sz w:val="28"/>
          <w:szCs w:val="28"/>
        </w:rPr>
        <w:t>（三）项目产出情况</w:t>
      </w:r>
    </w:p>
    <w:p>
      <w:pPr>
        <w:keepNext w:val="0"/>
        <w:keepLines w:val="0"/>
        <w:pageBreakBefore w:val="0"/>
        <w:widowControl w:val="0"/>
        <w:kinsoku/>
        <w:wordWrap/>
        <w:overflowPunct/>
        <w:topLinePunct w:val="0"/>
        <w:autoSpaceDE/>
        <w:autoSpaceDN/>
        <w:bidi w:val="0"/>
        <w:adjustRightInd/>
        <w:snapToGrid/>
        <w:spacing w:line="600" w:lineRule="exact"/>
        <w:ind w:leftChars="0" w:firstLine="562" w:firstLineChars="200"/>
        <w:textAlignment w:val="auto"/>
        <w:outlineLvl w:val="0"/>
        <w:rPr>
          <w:rFonts w:hint="eastAsia" w:ascii="楷体_GB2312" w:hAnsi="Calibri" w:eastAsia="楷体_GB2312" w:cs="Times New Roman"/>
          <w:b/>
          <w:color w:val="000000"/>
          <w:sz w:val="28"/>
          <w:szCs w:val="28"/>
        </w:rPr>
      </w:pPr>
      <w:r>
        <w:rPr>
          <w:rFonts w:hint="eastAsia" w:ascii="楷体_GB2312" w:hAnsi="Calibri" w:eastAsia="楷体_GB2312" w:cs="Times New Roman"/>
          <w:b/>
          <w:color w:val="000000"/>
          <w:sz w:val="28"/>
          <w:szCs w:val="28"/>
        </w:rPr>
        <w:t>1、产出数量指标情况分析</w:t>
      </w:r>
    </w:p>
    <w:p>
      <w:pPr>
        <w:bidi w:val="0"/>
        <w:jc w:val="right"/>
        <w:outlineLvl w:val="1"/>
        <w:rPr>
          <w:rFonts w:hint="default" w:ascii="楷体" w:hAnsi="楷体" w:eastAsia="楷体" w:cs="楷体"/>
          <w:sz w:val="24"/>
          <w:szCs w:val="24"/>
          <w:lang w:val="en-US" w:eastAsia="zh-CN"/>
        </w:rPr>
      </w:pPr>
      <w:r>
        <w:rPr>
          <w:rFonts w:hint="eastAsia"/>
          <w:lang w:val="en-US" w:eastAsia="zh-CN"/>
        </w:rPr>
        <w:t xml:space="preserve">                                              </w:t>
      </w:r>
    </w:p>
    <w:tbl>
      <w:tblPr>
        <w:tblStyle w:val="14"/>
        <w:tblW w:w="10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2080"/>
        <w:gridCol w:w="3636"/>
        <w:gridCol w:w="3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82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文旅宣传推广</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工作名称</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bCs/>
                <w:color w:val="auto"/>
                <w:sz w:val="24"/>
                <w:szCs w:val="24"/>
                <w:vertAlign w:val="baseline"/>
                <w:lang w:val="en-US" w:eastAsia="zh-CN"/>
              </w:rPr>
            </w:pPr>
            <w:r>
              <w:rPr>
                <w:rFonts w:hint="eastAsia" w:ascii="楷体" w:hAnsi="楷体" w:eastAsia="楷体" w:cs="楷体"/>
                <w:b/>
                <w:bCs/>
                <w:color w:val="auto"/>
                <w:sz w:val="24"/>
                <w:szCs w:val="24"/>
                <w:vertAlign w:val="baseline"/>
                <w:lang w:val="en-US" w:eastAsia="zh-CN"/>
              </w:rPr>
              <w:t>情况分析</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bCs/>
                <w:color w:val="auto"/>
                <w:sz w:val="24"/>
                <w:szCs w:val="24"/>
                <w:vertAlign w:val="baseline"/>
                <w:lang w:val="en-US" w:eastAsia="zh-CN"/>
              </w:rPr>
            </w:pPr>
            <w:r>
              <w:rPr>
                <w:rFonts w:hint="eastAsia" w:ascii="楷体" w:hAnsi="楷体" w:eastAsia="楷体" w:cs="楷体"/>
                <w:b/>
                <w:bCs/>
                <w:color w:val="auto"/>
                <w:sz w:val="24"/>
                <w:szCs w:val="24"/>
                <w:vertAlign w:val="baseline"/>
                <w:lang w:val="en-US" w:eastAsia="zh-CN"/>
              </w:rPr>
              <w:t>完成情况分析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2021年中央电视台文旅宣传</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投放城市形象宣传广告</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通过招投标项目已经完成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设计制作宣传资料</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编辑、设计、制作文化南昌丛书，编辑、设计、制作投放、宣传南昌、文旅季刊、宣传书、折页、手绘地图等</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项目暂停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广播电视宣传</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拍摄文化微电影，南昌广播电视台开展电视文旅专栏，917广播文旅专栏</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拍摄文化微电影（100万），南昌广播电视台开展电视文旅专栏（30万），917广播文旅专栏（30万）已完成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报纸宣传</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南昌日报特约专版，畅游南昌专栏，南昌四季游主题活动等</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项目暂停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局官方公众号、微博等运营</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委托专业机构运营我局南昌文旅（原天下英雄城）、文化南昌公众号、微博等。</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项目已完成招投标工作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省、市旅发大会宣传和广告投放</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省、市旅发大会宣传册页、展板设计制作及媒体宣传。</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省旅发大会宣传和广告投放工作已完成，因疫情原因推迟2022年完成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旅游交易会、展览会、博览会等参展费用</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参加国际国内旅交会、博览会、展览会等。</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根据省文旅厅全年参展计划执行，但因疫情赴上海行程取消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8" w:hRule="atLeast"/>
        </w:trPr>
        <w:tc>
          <w:tcPr>
            <w:tcW w:w="82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 xml:space="preserve">红色旅游博览会及“中国国际旅游商品博览会”等各类旅游会展 </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在井冈山搭建2021年全国红色旅游博览会南昌展馆，以及组织参加全国各类旅游商品博览会。</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项目已完成，本届红博会在主会场搭建了“千年豫章郡·天下英雄城”南昌馆，组织10余家文创旅游商品企业参展，展出红色旅游创意产品和特色文创产品200余件；同时，举办了2021中国红色旅游博览会南昌分会场暨“我为英雄城代言”红色旅游宣讲推介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82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全市旅游资源普查及成果转化、宣传等费用</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对全市各县区旅游资源普查结果进行汇总、宣传及后期成果转化。</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按照《江西省文化和旅游厅办公室关于开展全省旅游资源普查工作的通知》的要求，完成我市旅游资源普查工作。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2021年南昌旅游欢迎短信项目</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对进入南昌的外地游客进行南昌旅游欢迎短信推送。</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通过政府采购，与移动、电信及联通3家运营商合作，完成2021年南昌旅游欢迎短信项目建设，对入境南昌游客推送南昌旅游欢迎短信。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智慧文旅指挥调度监测系统</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景区、场馆人流监控。</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2021年11月份，开展了“南昌文化广电新闻出版旅游局智慧文旅指挥调度监测系统（二期）”公开招标政府采购，由江苏唱游数据技术有限公司中标，中标金额98.642万元，支付了首付款39.4568万元。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畅游南昌应用场景建设</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与市大数据局联合开展城市大脑畅游南昌应用场景建设运维费。</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因南昌城市大脑“畅游南昌”应用场景项目建设暂缓，何时重启未确定，项目取消实施。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b/>
                <w:bCs/>
                <w:sz w:val="24"/>
                <w:szCs w:val="24"/>
                <w:lang w:val="en-US" w:eastAsia="zh-CN"/>
              </w:rPr>
              <w:t>政策兑现奖励</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旅游商品品牌奖</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对5个获得全国奖项、23个获得省级奖项的旅游商品进行奖励。</w:t>
            </w:r>
          </w:p>
        </w:tc>
        <w:tc>
          <w:tcPr>
            <w:tcW w:w="3636" w:type="dxa"/>
            <w:vAlign w:val="top"/>
          </w:tcPr>
          <w:p>
            <w:pPr>
              <w:spacing w:line="240" w:lineRule="atLeast"/>
              <w:ind w:firstLine="0" w:firstLineChars="0"/>
              <w:jc w:val="center"/>
              <w:rPr>
                <w:rFonts w:hint="eastAsia" w:ascii="楷体" w:hAnsi="楷体" w:eastAsia="楷体" w:cs="楷体"/>
                <w:color w:val="auto"/>
                <w:sz w:val="24"/>
              </w:rPr>
            </w:pPr>
            <w:r>
              <w:rPr>
                <w:rFonts w:hint="eastAsia" w:ascii="楷体" w:hAnsi="楷体" w:eastAsia="楷体" w:cs="楷体"/>
                <w:color w:val="auto"/>
                <w:sz w:val="24"/>
              </w:rPr>
              <w:t>项目已完成，对2020年获得中国特色旅游商品大赛的4件旅游商品、中国旅游商品大赛的1件旅游商品及江西省文化旅游创意产品大赛我市获奖的23个获奖的旅游商品进行奖励，待旅发大会统一兑现资金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旅游景区品牌奖</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对3个4A级景区、7个3A景区进行奖励。</w:t>
            </w:r>
          </w:p>
        </w:tc>
        <w:tc>
          <w:tcPr>
            <w:tcW w:w="3636" w:type="dxa"/>
            <w:vAlign w:val="top"/>
          </w:tcPr>
          <w:p>
            <w:pPr>
              <w:spacing w:line="240" w:lineRule="atLeast"/>
              <w:ind w:firstLine="0" w:firstLineChars="0"/>
              <w:jc w:val="center"/>
              <w:rPr>
                <w:rFonts w:hint="eastAsia" w:ascii="楷体" w:hAnsi="楷体" w:eastAsia="楷体" w:cs="楷体"/>
                <w:color w:val="auto"/>
                <w:sz w:val="24"/>
              </w:rPr>
            </w:pPr>
            <w:r>
              <w:rPr>
                <w:rFonts w:hint="eastAsia" w:ascii="楷体" w:hAnsi="楷体" w:eastAsia="楷体" w:cs="楷体"/>
                <w:color w:val="auto"/>
                <w:sz w:val="24"/>
              </w:rPr>
              <w:t>项目已完成，对3家获评国家4A级旅游景区的南昌汉代海昏侯国考古遗址公园、八大山人梅湖景区、南昌市小平小道陈列馆，5家获平国家国家3A级旅游景区的原城纪南昌城市文化街区、融创海洋乐园、青岚湖湿地景区、南昌工学院工艺美术博览园、方大特钢工业旅游景区给予奖励。待旅发大会统一兑现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旅游客源招徕、包机专列奖励</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对经审核符合旅游客源招徕奖励，旅游包机、专列奖励标准的进行奖励。</w:t>
            </w:r>
          </w:p>
        </w:tc>
        <w:tc>
          <w:tcPr>
            <w:tcW w:w="3636" w:type="dxa"/>
            <w:vAlign w:val="center"/>
          </w:tcPr>
          <w:p>
            <w:pPr>
              <w:spacing w:line="240" w:lineRule="atLeast"/>
              <w:ind w:firstLine="0" w:firstLineChars="0"/>
              <w:jc w:val="center"/>
              <w:rPr>
                <w:rFonts w:hint="eastAsia" w:ascii="楷体" w:hAnsi="楷体" w:eastAsia="楷体" w:cs="楷体"/>
                <w:color w:val="auto"/>
                <w:sz w:val="24"/>
              </w:rPr>
            </w:pPr>
            <w:r>
              <w:rPr>
                <w:rFonts w:hint="eastAsia" w:ascii="楷体" w:hAnsi="楷体" w:eastAsia="楷体" w:cs="楷体"/>
                <w:color w:val="auto"/>
                <w:sz w:val="24"/>
              </w:rPr>
              <w:t>按审计情况据实执行，目前已审核。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打造“南昌礼物”旗舰店</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对15家4A以上景区打造的“南昌礼物”旗舰店予以奖补。</w:t>
            </w:r>
          </w:p>
        </w:tc>
        <w:tc>
          <w:tcPr>
            <w:tcW w:w="3636" w:type="dxa"/>
            <w:vAlign w:val="top"/>
          </w:tcPr>
          <w:p>
            <w:pPr>
              <w:spacing w:line="240" w:lineRule="atLeast"/>
              <w:ind w:firstLine="0" w:firstLineChars="0"/>
              <w:jc w:val="center"/>
              <w:rPr>
                <w:rFonts w:hint="eastAsia" w:ascii="楷体" w:hAnsi="楷体" w:eastAsia="楷体" w:cs="楷体"/>
                <w:color w:val="auto"/>
                <w:sz w:val="24"/>
              </w:rPr>
            </w:pPr>
            <w:r>
              <w:rPr>
                <w:rFonts w:hint="eastAsia" w:ascii="楷体" w:hAnsi="楷体" w:eastAsia="楷体" w:cs="楷体"/>
                <w:color w:val="auto"/>
                <w:sz w:val="24"/>
              </w:rPr>
              <w:t>启动对3家新评定的4A级景区打造的“南昌礼物”旗舰店进行评审和2020年度12家“南昌礼物”旗舰店进行复核，待评审及复核通过进行奖励兑现。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8" w:hRule="atLeast"/>
        </w:trPr>
        <w:tc>
          <w:tcPr>
            <w:tcW w:w="82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旅行社、旅游饭店品牌奖</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2020年度，评定旅游饭店10家，其中星级酒店4家（1家五星级和1家四星级已完成初评，待省星评委作出最终核定）；绿色旅游饭店6家（2家金树叶级绿色旅游饭店已完成初评，待省星评委作出最终核定）。评定星级旅行社19家，其中五星级8家、四星级6家、三星级5家。</w:t>
            </w:r>
          </w:p>
        </w:tc>
        <w:tc>
          <w:tcPr>
            <w:tcW w:w="3636" w:type="dxa"/>
            <w:vAlign w:val="center"/>
          </w:tcPr>
          <w:p>
            <w:pPr>
              <w:spacing w:line="240" w:lineRule="atLeast"/>
              <w:ind w:firstLine="0" w:firstLineChars="0"/>
              <w:jc w:val="center"/>
              <w:rPr>
                <w:rFonts w:hint="eastAsia" w:ascii="楷体" w:hAnsi="楷体" w:eastAsia="楷体" w:cs="楷体"/>
                <w:color w:val="auto"/>
                <w:sz w:val="24"/>
              </w:rPr>
            </w:pPr>
            <w:r>
              <w:rPr>
                <w:rFonts w:hint="eastAsia" w:ascii="楷体" w:hAnsi="楷体" w:eastAsia="楷体" w:cs="楷体"/>
                <w:color w:val="auto"/>
                <w:sz w:val="24"/>
              </w:rPr>
              <w:t>已完成2020年申报旅行社、饭店品牌奖企业评定工作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导游服务品牌奖励</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对获评2020年度江西省四星级、三星级导游进行奖励，按四星级29人，每人奖励5000元，三星级58人，每人奖励1000元，据实核拨。</w:t>
            </w:r>
          </w:p>
        </w:tc>
        <w:tc>
          <w:tcPr>
            <w:tcW w:w="3636" w:type="dxa"/>
            <w:vAlign w:val="top"/>
          </w:tcPr>
          <w:p>
            <w:pPr>
              <w:spacing w:line="240" w:lineRule="atLeast"/>
              <w:ind w:firstLine="0" w:firstLineChars="0"/>
              <w:jc w:val="center"/>
              <w:rPr>
                <w:rFonts w:hint="eastAsia" w:ascii="楷体" w:hAnsi="楷体" w:eastAsia="楷体" w:cs="楷体"/>
                <w:color w:val="auto"/>
                <w:sz w:val="24"/>
              </w:rPr>
            </w:pPr>
            <w:r>
              <w:rPr>
                <w:rFonts w:hint="eastAsia" w:ascii="楷体" w:hAnsi="楷体" w:eastAsia="楷体" w:cs="楷体"/>
                <w:color w:val="auto"/>
                <w:sz w:val="24"/>
              </w:rPr>
              <w:t>经与市财政沟通，继续沿用《南昌市旅游产业发展专项资金使用管理办法》（2017），</w:t>
            </w:r>
            <w:r>
              <w:rPr>
                <w:rFonts w:hint="eastAsia" w:ascii="楷体" w:hAnsi="楷体" w:eastAsia="楷体" w:cs="楷体"/>
                <w:color w:val="auto"/>
                <w:sz w:val="24"/>
                <w:lang w:val="en-US" w:eastAsia="zh-CN"/>
              </w:rPr>
              <w:t>已</w:t>
            </w:r>
            <w:r>
              <w:rPr>
                <w:rFonts w:hint="eastAsia" w:ascii="楷体" w:hAnsi="楷体" w:eastAsia="楷体" w:cs="楷体"/>
                <w:color w:val="auto"/>
                <w:sz w:val="24"/>
              </w:rPr>
              <w:t>兑现导游服务品牌奖励资金。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旅游专线、旅游辅助公交补助</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对于开通经停两个以上国家4A级以上（含4A级）旅游景区的旅游专线、旅游辅助公交，对每条线路给予10万元以上资金补助，每年评选补助1次。</w:t>
            </w:r>
          </w:p>
        </w:tc>
        <w:tc>
          <w:tcPr>
            <w:tcW w:w="3636" w:type="dxa"/>
            <w:vAlign w:val="center"/>
          </w:tcPr>
          <w:p>
            <w:pPr>
              <w:spacing w:line="240" w:lineRule="atLeast"/>
              <w:ind w:firstLine="0" w:firstLineChars="0"/>
              <w:jc w:val="center"/>
              <w:rPr>
                <w:rFonts w:hint="eastAsia" w:ascii="楷体" w:hAnsi="楷体" w:eastAsia="楷体" w:cs="楷体"/>
                <w:color w:val="auto"/>
                <w:sz w:val="24"/>
              </w:rPr>
            </w:pPr>
            <w:r>
              <w:rPr>
                <w:rFonts w:hint="eastAsia" w:ascii="楷体" w:hAnsi="楷体" w:eastAsia="楷体" w:cs="楷体"/>
                <w:color w:val="auto"/>
                <w:sz w:val="24"/>
              </w:rPr>
              <w:t>引导开通了9条旅游专线并进行了宣传。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非国有博物馆扶持项目</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主要对全市非国有博物馆（美术馆、艺术馆、展示馆）给予资金扶持。</w:t>
            </w:r>
          </w:p>
        </w:tc>
        <w:tc>
          <w:tcPr>
            <w:tcW w:w="3636" w:type="dxa"/>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已完成对全市非国有博物馆（美术馆、艺术馆、展示馆）给予资金扶持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设立“文旅贷”风险补偿金</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根据省文旅厅要求，设立市“贷款风险补偿”资金，为文旅企业提供资金支持。</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已设立100万元“贷款风险补偿”。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 xml:space="preserve">文旅公共服务及活动 </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“戏曲”、“红色旅游”进校园系列活动</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1、戏曲进校园20万：通过政府购买文艺院团公益性演出的形式，将南昌地方戏曲采茶戏纳入学校教育教学，计划演出场次10场。</w:t>
            </w:r>
            <w:r>
              <w:rPr>
                <w:rFonts w:hint="eastAsia" w:ascii="楷体" w:hAnsi="楷体" w:eastAsia="楷体" w:cs="楷体"/>
                <w:color w:val="auto"/>
                <w:kern w:val="2"/>
                <w:sz w:val="24"/>
                <w:szCs w:val="24"/>
                <w:vertAlign w:val="baseline"/>
                <w:lang w:val="en-US" w:eastAsia="zh-CN" w:bidi="ar-SA"/>
              </w:rPr>
              <w:br w:type="textWrapping"/>
            </w:r>
            <w:r>
              <w:rPr>
                <w:rFonts w:hint="eastAsia" w:ascii="楷体" w:hAnsi="楷体" w:eastAsia="楷体" w:cs="楷体"/>
                <w:color w:val="auto"/>
                <w:kern w:val="2"/>
                <w:sz w:val="24"/>
                <w:szCs w:val="24"/>
                <w:vertAlign w:val="baseline"/>
                <w:lang w:val="en-US" w:eastAsia="zh-CN" w:bidi="ar-SA"/>
              </w:rPr>
              <w:t>2、红色旅游进校园10万：开展主题为“传承红色基因，发展红色旅游”系列活动，以丰富的活动内容和形式，在做好疫情防控工作的基础上，引导和鼓励学生接受红色教育和红色精神的洗礼通过寓教于乐、寓教于游的形式，传承红色基因，打造红色校园文化。</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红色旅游进校园活动项目已完成，共开展了2场活动，分别为4月1日在南师附小红谷滩校区二部、4月8日在南昌工学院，通过一堂红色旅游必修课、一项专题校园巡回展、一批红色旅游书籍进校园、一条校园主题红色旅游线路、一部微视频“五个一”工程，深入推进红色旅游进校园。微视频作品参加了国家文旅部“红色旅游进校园”案例作品征集展示活动，并成功入选国家文旅部从近500个“红色旅游进校园”视频中遴选出的15个主题短视频作品之一。待走流程执行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文化消费试点活动（推出文旅一卡通等）</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推出文旅一卡通，开展文化消费试点活动。</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为贯彻落实《南昌市人民政府办公室关于印发&lt;促进全市文旅产业经济高质量发展的若干政策措施&gt;的通知》精神，进一步拉动文旅消费市场，让市民更便捷地享受文旅服务，促进我市文旅产业快速发展已于九月拨付启动资金360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“文明旅游 为中国加分”主题活动</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开展“文明旅游 为中国加分”主题活动，进社区、进景区、进校园。印刷文明旅游宣传品。</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按照市委宣传部指示和南昌市文化广电</w:t>
            </w:r>
            <w:r>
              <w:rPr>
                <w:rFonts w:hint="eastAsia" w:ascii="楷体" w:hAnsi="楷体" w:eastAsia="楷体" w:cs="楷体"/>
                <w:color w:val="auto"/>
                <w:kern w:val="2"/>
                <w:sz w:val="24"/>
                <w:szCs w:val="24"/>
                <w:vertAlign w:val="baseline"/>
                <w:lang w:val="en-US" w:eastAsia="zh-CN" w:bidi="ar-SA"/>
              </w:rPr>
              <w:br w:type="textWrapping"/>
            </w:r>
            <w:r>
              <w:rPr>
                <w:rFonts w:hint="eastAsia" w:ascii="楷体" w:hAnsi="楷体" w:eastAsia="楷体" w:cs="楷体"/>
                <w:color w:val="auto"/>
                <w:kern w:val="2"/>
                <w:sz w:val="24"/>
                <w:szCs w:val="24"/>
                <w:vertAlign w:val="baseline"/>
                <w:lang w:val="en-US" w:eastAsia="zh-CN" w:bidi="ar-SA"/>
              </w:rPr>
              <w:t>新闻出版旅游局要求，2021年南昌市电</w:t>
            </w:r>
            <w:r>
              <w:rPr>
                <w:rFonts w:hint="eastAsia" w:ascii="楷体" w:hAnsi="楷体" w:eastAsia="楷体" w:cs="楷体"/>
                <w:color w:val="auto"/>
                <w:kern w:val="2"/>
                <w:sz w:val="24"/>
                <w:szCs w:val="24"/>
                <w:vertAlign w:val="baseline"/>
                <w:lang w:val="en-US" w:eastAsia="zh-CN" w:bidi="ar-SA"/>
              </w:rPr>
              <w:br w:type="textWrapping"/>
            </w:r>
            <w:r>
              <w:rPr>
                <w:rFonts w:hint="eastAsia" w:ascii="楷体" w:hAnsi="楷体" w:eastAsia="楷体" w:cs="楷体"/>
                <w:color w:val="auto"/>
                <w:kern w:val="2"/>
                <w:sz w:val="24"/>
                <w:szCs w:val="24"/>
                <w:vertAlign w:val="baseline"/>
                <w:lang w:val="en-US" w:eastAsia="zh-CN" w:bidi="ar-SA"/>
              </w:rPr>
              <w:t>影公司和市广电校园院线公司组织安排</w:t>
            </w:r>
            <w:r>
              <w:rPr>
                <w:rFonts w:hint="eastAsia" w:ascii="楷体" w:hAnsi="楷体" w:eastAsia="楷体" w:cs="楷体"/>
                <w:color w:val="auto"/>
                <w:kern w:val="2"/>
                <w:sz w:val="24"/>
                <w:szCs w:val="24"/>
                <w:vertAlign w:val="baseline"/>
                <w:lang w:val="en-US" w:eastAsia="zh-CN" w:bidi="ar-SA"/>
              </w:rPr>
              <w:br w:type="textWrapping"/>
            </w:r>
            <w:r>
              <w:rPr>
                <w:rFonts w:hint="eastAsia" w:ascii="楷体" w:hAnsi="楷体" w:eastAsia="楷体" w:cs="楷体"/>
                <w:color w:val="auto"/>
                <w:kern w:val="2"/>
                <w:sz w:val="24"/>
                <w:szCs w:val="24"/>
                <w:vertAlign w:val="baseline"/>
                <w:lang w:val="en-US" w:eastAsia="zh-CN" w:bidi="ar-SA"/>
              </w:rPr>
              <w:t>流动放映队，前往市属青云谱、西湖、</w:t>
            </w:r>
            <w:r>
              <w:rPr>
                <w:rFonts w:hint="eastAsia" w:ascii="楷体" w:hAnsi="楷体" w:eastAsia="楷体" w:cs="楷体"/>
                <w:color w:val="auto"/>
                <w:kern w:val="2"/>
                <w:sz w:val="24"/>
                <w:szCs w:val="24"/>
                <w:vertAlign w:val="baseline"/>
                <w:lang w:val="en-US" w:eastAsia="zh-CN" w:bidi="ar-SA"/>
              </w:rPr>
              <w:br w:type="textWrapping"/>
            </w:r>
            <w:r>
              <w:rPr>
                <w:rFonts w:hint="eastAsia" w:ascii="楷体" w:hAnsi="楷体" w:eastAsia="楷体" w:cs="楷体"/>
                <w:color w:val="auto"/>
                <w:kern w:val="2"/>
                <w:sz w:val="24"/>
                <w:szCs w:val="24"/>
                <w:vertAlign w:val="baseline"/>
                <w:lang w:val="en-US" w:eastAsia="zh-CN" w:bidi="ar-SA"/>
              </w:rPr>
              <w:t>高新、经开区的镇、乡（村）、学校等</w:t>
            </w:r>
            <w:r>
              <w:rPr>
                <w:rFonts w:hint="eastAsia" w:ascii="楷体" w:hAnsi="楷体" w:eastAsia="楷体" w:cs="楷体"/>
                <w:color w:val="auto"/>
                <w:kern w:val="2"/>
                <w:sz w:val="24"/>
                <w:szCs w:val="24"/>
                <w:vertAlign w:val="baseline"/>
                <w:lang w:val="en-US" w:eastAsia="zh-CN" w:bidi="ar-SA"/>
              </w:rPr>
              <w:br w:type="textWrapping"/>
            </w:r>
            <w:r>
              <w:rPr>
                <w:rFonts w:hint="eastAsia" w:ascii="楷体" w:hAnsi="楷体" w:eastAsia="楷体" w:cs="楷体"/>
                <w:color w:val="auto"/>
                <w:kern w:val="2"/>
                <w:sz w:val="24"/>
                <w:szCs w:val="24"/>
                <w:vertAlign w:val="baseline"/>
                <w:lang w:val="en-US" w:eastAsia="zh-CN" w:bidi="ar-SA"/>
              </w:rPr>
              <w:t>场所免费为群众放映公益电影。1-10月份，已放映电影360场次。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导游优质服务评比活动</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购买服务，委托第三方开展导游优质服务评比活动，提升我市导游员服务水平和业务能力。</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与市导游协会共同研究评比活动方案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非遗美食节活动</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举办非遗美食节，开展“南昌一桌菜”评选推荐活动和非遗展示展览展演活动，打造南昌非遗美食，助力南昌旅游经济发展。</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“洪城街艺”街头艺人活动</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根据《南昌市“街头艺术表演”活动实施方案》，为“洪城街艺”艺人提供5次以上的培训、讲座，组织开展“街头艺术节”等。</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公益电影放映文化三下乡活动</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2021年南昌市电影公司组织安排流动放映队，前往本市高新、红谷滩、经开、东湖、西湖、青云谱等5个行政区的广大集镇乡村、社会福利院、社区广场、军营、劳教所免费放映流动电影360场。</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按照市委宣传部指示和南昌市文化广电</w:t>
            </w:r>
            <w:r>
              <w:rPr>
                <w:rFonts w:hint="eastAsia" w:ascii="楷体" w:hAnsi="楷体" w:eastAsia="楷体" w:cs="楷体"/>
                <w:color w:val="auto"/>
                <w:kern w:val="2"/>
                <w:sz w:val="24"/>
                <w:szCs w:val="24"/>
                <w:vertAlign w:val="baseline"/>
                <w:lang w:val="en-US" w:eastAsia="zh-CN" w:bidi="ar-SA"/>
              </w:rPr>
              <w:br w:type="textWrapping"/>
            </w:r>
            <w:r>
              <w:rPr>
                <w:rFonts w:hint="eastAsia" w:ascii="楷体" w:hAnsi="楷体" w:eastAsia="楷体" w:cs="楷体"/>
                <w:color w:val="auto"/>
                <w:kern w:val="2"/>
                <w:sz w:val="24"/>
                <w:szCs w:val="24"/>
                <w:vertAlign w:val="baseline"/>
                <w:lang w:val="en-US" w:eastAsia="zh-CN" w:bidi="ar-SA"/>
              </w:rPr>
              <w:t>新闻出版旅游局要求，2021年南昌市电</w:t>
            </w:r>
            <w:r>
              <w:rPr>
                <w:rFonts w:hint="eastAsia" w:ascii="楷体" w:hAnsi="楷体" w:eastAsia="楷体" w:cs="楷体"/>
                <w:color w:val="auto"/>
                <w:kern w:val="2"/>
                <w:sz w:val="24"/>
                <w:szCs w:val="24"/>
                <w:vertAlign w:val="baseline"/>
                <w:lang w:val="en-US" w:eastAsia="zh-CN" w:bidi="ar-SA"/>
              </w:rPr>
              <w:br w:type="textWrapping"/>
            </w:r>
            <w:r>
              <w:rPr>
                <w:rFonts w:hint="eastAsia" w:ascii="楷体" w:hAnsi="楷体" w:eastAsia="楷体" w:cs="楷体"/>
                <w:color w:val="auto"/>
                <w:kern w:val="2"/>
                <w:sz w:val="24"/>
                <w:szCs w:val="24"/>
                <w:vertAlign w:val="baseline"/>
                <w:lang w:val="en-US" w:eastAsia="zh-CN" w:bidi="ar-SA"/>
              </w:rPr>
              <w:t>影公司和市广电校园院线公司组织安排</w:t>
            </w:r>
            <w:r>
              <w:rPr>
                <w:rFonts w:hint="eastAsia" w:ascii="楷体" w:hAnsi="楷体" w:eastAsia="楷体" w:cs="楷体"/>
                <w:color w:val="auto"/>
                <w:kern w:val="2"/>
                <w:sz w:val="24"/>
                <w:szCs w:val="24"/>
                <w:vertAlign w:val="baseline"/>
                <w:lang w:val="en-US" w:eastAsia="zh-CN" w:bidi="ar-SA"/>
              </w:rPr>
              <w:br w:type="textWrapping"/>
            </w:r>
            <w:r>
              <w:rPr>
                <w:rFonts w:hint="eastAsia" w:ascii="楷体" w:hAnsi="楷体" w:eastAsia="楷体" w:cs="楷体"/>
                <w:color w:val="auto"/>
                <w:kern w:val="2"/>
                <w:sz w:val="24"/>
                <w:szCs w:val="24"/>
                <w:vertAlign w:val="baseline"/>
                <w:lang w:val="en-US" w:eastAsia="zh-CN" w:bidi="ar-SA"/>
              </w:rPr>
              <w:t>流动放映队，前往市属青云谱、西湖、</w:t>
            </w:r>
            <w:r>
              <w:rPr>
                <w:rFonts w:hint="eastAsia" w:ascii="楷体" w:hAnsi="楷体" w:eastAsia="楷体" w:cs="楷体"/>
                <w:color w:val="auto"/>
                <w:kern w:val="2"/>
                <w:sz w:val="24"/>
                <w:szCs w:val="24"/>
                <w:vertAlign w:val="baseline"/>
                <w:lang w:val="en-US" w:eastAsia="zh-CN" w:bidi="ar-SA"/>
              </w:rPr>
              <w:br w:type="textWrapping"/>
            </w:r>
            <w:r>
              <w:rPr>
                <w:rFonts w:hint="eastAsia" w:ascii="楷体" w:hAnsi="楷体" w:eastAsia="楷体" w:cs="楷体"/>
                <w:color w:val="auto"/>
                <w:kern w:val="2"/>
                <w:sz w:val="24"/>
                <w:szCs w:val="24"/>
                <w:vertAlign w:val="baseline"/>
                <w:lang w:val="en-US" w:eastAsia="zh-CN" w:bidi="ar-SA"/>
              </w:rPr>
              <w:t>高新、经开区的镇、乡（村）、学校等</w:t>
            </w:r>
            <w:r>
              <w:rPr>
                <w:rFonts w:hint="eastAsia" w:ascii="楷体" w:hAnsi="楷体" w:eastAsia="楷体" w:cs="楷体"/>
                <w:color w:val="auto"/>
                <w:kern w:val="2"/>
                <w:sz w:val="24"/>
                <w:szCs w:val="24"/>
                <w:vertAlign w:val="baseline"/>
                <w:lang w:val="en-US" w:eastAsia="zh-CN" w:bidi="ar-SA"/>
              </w:rPr>
              <w:br w:type="textWrapping"/>
            </w:r>
            <w:r>
              <w:rPr>
                <w:rFonts w:hint="eastAsia" w:ascii="楷体" w:hAnsi="楷体" w:eastAsia="楷体" w:cs="楷体"/>
                <w:color w:val="auto"/>
                <w:kern w:val="2"/>
                <w:sz w:val="24"/>
                <w:szCs w:val="24"/>
                <w:vertAlign w:val="baseline"/>
                <w:lang w:val="en-US" w:eastAsia="zh-CN" w:bidi="ar-SA"/>
              </w:rPr>
              <w:t>场所免费为群众放映公益电影。1-10月份，已放映电影360场次。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全国政协京昆室在赣考察汇报演出</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全国政协京昆室在赣考察汇报演出，南昌采茶戏小戏《婚姻考场》，《采桑》及赣剧折子戏选段。鉴于群星剧场灯光设备不足，为保证演出质量，需对外租用部分灯光设备。</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项目已完成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全民艺术普及活动</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一、庆祝建党100周年群众文化系列活动：1.“唱支山歌给党听”庆祝建党100周年群众歌咏大赛；2.“童心向党”青少年钢琴快闪音乐会；3.“我是共产党员”红色留声亭朗诵大赛；4.“舞动赣鄱颂党恩”南昌市广场舞展演暨百场优秀民间团队节目展演；5、申报江西省第四届“赣鄱群星奖”；6.南昌市庆祝建党100周年摄影作品大赛暨优秀作品巡展。</w:t>
            </w:r>
            <w:r>
              <w:rPr>
                <w:rFonts w:hint="eastAsia" w:ascii="楷体" w:hAnsi="楷体" w:eastAsia="楷体" w:cs="楷体"/>
                <w:color w:val="auto"/>
                <w:kern w:val="2"/>
                <w:sz w:val="24"/>
                <w:szCs w:val="24"/>
                <w:vertAlign w:val="baseline"/>
                <w:lang w:val="en-US" w:eastAsia="zh-CN" w:bidi="ar-SA"/>
              </w:rPr>
              <w:br w:type="textWrapping"/>
            </w:r>
            <w:r>
              <w:rPr>
                <w:rFonts w:hint="eastAsia" w:ascii="楷体" w:hAnsi="楷体" w:eastAsia="楷体" w:cs="楷体"/>
                <w:color w:val="auto"/>
                <w:kern w:val="2"/>
                <w:sz w:val="24"/>
                <w:szCs w:val="24"/>
                <w:vertAlign w:val="baseline"/>
                <w:lang w:val="en-US" w:eastAsia="zh-CN" w:bidi="ar-SA"/>
              </w:rPr>
              <w:t>二、文明城市创建以及文化馆高质量发展需要：1、 "群星大讲堂"公益免费培训班2期；2、馆（站）业务专干培训班4期；3、“我是小小传承人”传统手工体验60期；4、组建南昌市文化馆“群星艺术团”舞蹈队、合唱队； 5、书法作品等展览5场；6、全年媒体宣传（含微信公众号、南昌市文化云平台推广）；7、开展全市群文工作调研4次；8、“群星剧场”惠民剧目演出15场。</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1.“唱支山歌给党听”庆祝建党100周年群众歌咏大赛，4.“舞动赣鄱颂党恩”南昌市广场舞展演暨百场优秀民间团队节目展演；2.“童心向党”青少年钢琴快闪音乐会；3.“我是共产党员”红色留声亭朗诵大赛；6.南昌市庆祝建党100周年摄影作品大赛暨优秀作品巡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全民阅读活动</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一、庆祝建党100周年群众文化系列活动：1、围绕庆祝建党100周年，开展专题展览、征文、演讲比赛、文艺汇演等系列活动；2、“洪城读书节”系列活动50场；3、豫章讲坛线上、线下公益讲座48场及本地数据库建设；4、“图书大篷车”进学校、企业、社区、机关等流动服务50次；</w:t>
            </w:r>
            <w:r>
              <w:rPr>
                <w:rFonts w:hint="eastAsia" w:ascii="楷体" w:hAnsi="楷体" w:eastAsia="楷体" w:cs="楷体"/>
                <w:color w:val="auto"/>
                <w:kern w:val="2"/>
                <w:sz w:val="24"/>
                <w:szCs w:val="24"/>
                <w:vertAlign w:val="baseline"/>
                <w:lang w:val="en-US" w:eastAsia="zh-CN" w:bidi="ar-SA"/>
              </w:rPr>
              <w:br w:type="textWrapping"/>
            </w:r>
            <w:r>
              <w:rPr>
                <w:rFonts w:hint="eastAsia" w:ascii="楷体" w:hAnsi="楷体" w:eastAsia="楷体" w:cs="楷体"/>
                <w:color w:val="auto"/>
                <w:kern w:val="2"/>
                <w:sz w:val="24"/>
                <w:szCs w:val="24"/>
                <w:vertAlign w:val="baseline"/>
                <w:lang w:val="en-US" w:eastAsia="zh-CN" w:bidi="ar-SA"/>
              </w:rPr>
              <w:t>二、文明城市创建和公共图书馆事业高质量发展需要：1、“小小洪旗手”未成年人阅读推广活动48场；2、数字资源建设，丰富完善藏书体系，免费提供给读者使用并开展线上活动。</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围绕庆祝建党100周年，开展演讲比赛、文艺汇演等系列活动2场已完成，活动图书、数字资源服务项目已开标准备签合同，豫章讲坛讲座服务、城市书房设备采购、文创产品开发项目即将开标。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建党100周年   活动</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主题活动展</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1、“学党史”红色地标打卡活动15万（文物科）：整合全市主要革命旧址和红色场馆，推出“学党史”红色文化经典线路，通过“学习强国”等平台进行推广，线下打卡、线上参与，在全市营造浓厚的</w:t>
            </w:r>
            <w:bookmarkStart w:id="0" w:name="_GoBack"/>
            <w:bookmarkEnd w:id="0"/>
            <w:r>
              <w:rPr>
                <w:rFonts w:hint="eastAsia" w:ascii="楷体" w:hAnsi="楷体" w:eastAsia="楷体" w:cs="楷体"/>
                <w:color w:val="auto"/>
                <w:kern w:val="2"/>
                <w:sz w:val="24"/>
                <w:szCs w:val="24"/>
                <w:vertAlign w:val="baseline"/>
                <w:lang w:val="en-US" w:eastAsia="zh-CN" w:bidi="ar-SA"/>
              </w:rPr>
              <w:t>党史学习教育氛围。</w:t>
            </w:r>
            <w:r>
              <w:rPr>
                <w:rFonts w:hint="eastAsia" w:ascii="楷体" w:hAnsi="楷体" w:eastAsia="楷体" w:cs="楷体"/>
                <w:color w:val="auto"/>
                <w:kern w:val="2"/>
                <w:sz w:val="24"/>
                <w:szCs w:val="24"/>
                <w:vertAlign w:val="baseline"/>
                <w:lang w:val="en-US" w:eastAsia="zh-CN" w:bidi="ar-SA"/>
              </w:rPr>
              <w:br w:type="textWrapping"/>
            </w:r>
            <w:r>
              <w:rPr>
                <w:rFonts w:hint="eastAsia" w:ascii="楷体" w:hAnsi="楷体" w:eastAsia="楷体" w:cs="楷体"/>
                <w:color w:val="auto"/>
                <w:kern w:val="2"/>
                <w:sz w:val="24"/>
                <w:szCs w:val="24"/>
                <w:vertAlign w:val="baseline"/>
                <w:lang w:val="en-US" w:eastAsia="zh-CN" w:bidi="ar-SA"/>
              </w:rPr>
              <w:t>2、建党100周年活动之“我为党旗添光彩”30万（宣传推广科、新四军军部旧址陈列馆）：在南昌举办主题展示活动。</w:t>
            </w:r>
            <w:r>
              <w:rPr>
                <w:rFonts w:hint="eastAsia" w:ascii="楷体" w:hAnsi="楷体" w:eastAsia="楷体" w:cs="楷体"/>
                <w:color w:val="auto"/>
                <w:kern w:val="2"/>
                <w:sz w:val="24"/>
                <w:szCs w:val="24"/>
                <w:vertAlign w:val="baseline"/>
                <w:lang w:val="en-US" w:eastAsia="zh-CN" w:bidi="ar-SA"/>
              </w:rPr>
              <w:br w:type="textWrapping"/>
            </w:r>
            <w:r>
              <w:rPr>
                <w:rFonts w:hint="eastAsia" w:ascii="楷体" w:hAnsi="楷体" w:eastAsia="楷体" w:cs="楷体"/>
                <w:color w:val="auto"/>
                <w:kern w:val="2"/>
                <w:sz w:val="24"/>
                <w:szCs w:val="24"/>
                <w:vertAlign w:val="baseline"/>
                <w:lang w:val="en-US" w:eastAsia="zh-CN" w:bidi="ar-SA"/>
              </w:rPr>
              <w:t>3、“百年红色路，今日英雄城”——庆祝中国共产党建党100周年主题展览150万（小平小道）：以“八一起义、南昌新四军、小平小道”为主线，全面展示南昌百年发展历程，向建党100周年献礼。</w:t>
            </w:r>
            <w:r>
              <w:rPr>
                <w:rFonts w:hint="eastAsia" w:ascii="楷体" w:hAnsi="楷体" w:eastAsia="楷体" w:cs="楷体"/>
                <w:color w:val="auto"/>
                <w:kern w:val="2"/>
                <w:sz w:val="24"/>
                <w:szCs w:val="24"/>
                <w:vertAlign w:val="baseline"/>
                <w:lang w:val="en-US" w:eastAsia="zh-CN" w:bidi="ar-SA"/>
              </w:rPr>
              <w:br w:type="textWrapping"/>
            </w:r>
            <w:r>
              <w:rPr>
                <w:rFonts w:hint="eastAsia" w:ascii="楷体" w:hAnsi="楷体" w:eastAsia="楷体" w:cs="楷体"/>
                <w:color w:val="auto"/>
                <w:kern w:val="2"/>
                <w:sz w:val="24"/>
                <w:szCs w:val="24"/>
                <w:vertAlign w:val="baseline"/>
                <w:lang w:val="en-US" w:eastAsia="zh-CN" w:bidi="ar-SA"/>
              </w:rPr>
              <w:t>4、百年回望 红心向党——庆祝中国共产党成立100周年系列展100万（八一馆）：该项目以“百年回望 红心向党”为主题，全面展示中国共产党的百年发展历程，同时开展“庆百年华诞 迎百年荣光”红色故事百人团招募、百场主题宣教活动，开发“红心向党”系列文创产品。</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《百年回望红心向党——庆祝中国共产党成立100周年》 《伟大的开端——南昌起义史实展》《红色百年——全国革命文物选萃图片展》等多个系列展览，以及配合展览开展的主题宣教活动和展览宣传等均已于7月30日全部完成。《百年回望红心向党——庆祝中国共产党成立100周年》《伟大的开端——南昌起义史实展》《红色百年——全国革命文物选萃图片展》等多个系列展览，以及配合展览开展的主题宣教活动和展览宣传等均已于7月30日全部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艺术活动展</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 xml:space="preserve">   1、“流水高山写新图——何香凝与新中国时期的北京画坛”主题展：80万(八大山人纪念馆）：该项目主要引进北京画院和何香凝美术馆精品展览，重点展示何香凝、叶恭绰、齐白石、徐悲鸿等艺术家的100余件书画精品及历史文献，向建党100周年献礼。</w:t>
            </w:r>
            <w:r>
              <w:rPr>
                <w:rFonts w:hint="eastAsia" w:ascii="楷体" w:hAnsi="楷体" w:eastAsia="楷体" w:cs="楷体"/>
                <w:color w:val="auto"/>
                <w:kern w:val="2"/>
                <w:sz w:val="24"/>
                <w:szCs w:val="24"/>
                <w:vertAlign w:val="baseline"/>
                <w:lang w:val="en-US" w:eastAsia="zh-CN" w:bidi="ar-SA"/>
              </w:rPr>
              <w:br w:type="textWrapping"/>
            </w:r>
            <w:r>
              <w:rPr>
                <w:rFonts w:hint="eastAsia" w:ascii="楷体" w:hAnsi="楷体" w:eastAsia="楷体" w:cs="楷体"/>
                <w:color w:val="auto"/>
                <w:kern w:val="2"/>
                <w:sz w:val="24"/>
                <w:szCs w:val="24"/>
                <w:vertAlign w:val="baseline"/>
                <w:lang w:val="en-US" w:eastAsia="zh-CN" w:bidi="ar-SA"/>
              </w:rPr>
              <w:t>2、新时代新画卷—庆祝建党100周年南昌合肥书画交流展25万（南昌画院）：为追忆历史、缅怀先烈，加强不同地域书画家之间的艺术交流，创作以纪念红色革命为主题的艺术作品，进行采风、创作和展览。</w:t>
            </w:r>
            <w:r>
              <w:rPr>
                <w:rFonts w:hint="eastAsia" w:ascii="楷体" w:hAnsi="楷体" w:eastAsia="楷体" w:cs="楷体"/>
                <w:color w:val="auto"/>
                <w:kern w:val="2"/>
                <w:sz w:val="24"/>
                <w:szCs w:val="24"/>
                <w:vertAlign w:val="baseline"/>
                <w:lang w:val="en-US" w:eastAsia="zh-CN" w:bidi="ar-SA"/>
              </w:rPr>
              <w:br w:type="textWrapping"/>
            </w:r>
            <w:r>
              <w:rPr>
                <w:rFonts w:hint="eastAsia" w:ascii="楷体" w:hAnsi="楷体" w:eastAsia="楷体" w:cs="楷体"/>
                <w:color w:val="auto"/>
                <w:kern w:val="2"/>
                <w:sz w:val="24"/>
                <w:szCs w:val="24"/>
                <w:vertAlign w:val="baseline"/>
                <w:lang w:val="en-US" w:eastAsia="zh-CN" w:bidi="ar-SA"/>
              </w:rPr>
              <w:t>3、全国工笔画名家作品邀请展40万（南昌画院）：通过展览展现中国共产党一百年来进行伟大斗争，建设伟大工程，推进伟大事业，实现伟大梦想的伟大成就和历史贡献。展现我省我市工笔画与全国工笔家们当下的创作面貌、人文关怀与艺术追求。搭建我省和我市工笔画与全国工笔画的交流平台。</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建党100周年－贵州采风</w:t>
            </w:r>
          </w:p>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建党100周年南昌-合肥书法交流展展览使用矿泉水</w:t>
            </w:r>
          </w:p>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合肥书画院一行来昌参加南昌画院-合肥书画院</w:t>
            </w:r>
          </w:p>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建党100周年交流展公务接待</w:t>
            </w:r>
          </w:p>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建党100周年南昌-合肥书法交流展花卉装饰</w:t>
            </w:r>
          </w:p>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建党100周年南昌-合肥书法交流展设计布置费</w:t>
            </w:r>
          </w:p>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建党100周年南昌-合肥书法作品联展装裱费</w:t>
            </w:r>
          </w:p>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建党100周年南昌-合肥书法交流展画册印刷制作费</w:t>
            </w:r>
          </w:p>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建党100周年南昌-合肥书法交流展购宣纸、墨汁创作用品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文艺活动演出</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1、庆祝建党100周年大型南昌采茶戏《兰妹子》创作演出260万（艺术中心）：在中国共产党的百年历史进程中，江西具有重要的地位。南昌采茶戏精品剧目《兰妹子》将结合本土特色，结合历史背景，展现我党领导革命的丰功伟绩。该剧以南昌采茶戏为底蕴，采用现代舞台方法，创作一台优秀现代戏剧目，将其打造成一台地域性强、特色鲜明的精品力作为建党100周年献礼。</w:t>
            </w:r>
            <w:r>
              <w:rPr>
                <w:rFonts w:hint="eastAsia" w:ascii="楷体" w:hAnsi="楷体" w:eastAsia="楷体" w:cs="楷体"/>
                <w:color w:val="auto"/>
                <w:kern w:val="2"/>
                <w:sz w:val="24"/>
                <w:szCs w:val="24"/>
                <w:vertAlign w:val="baseline"/>
                <w:lang w:val="en-US" w:eastAsia="zh-CN" w:bidi="ar-SA"/>
              </w:rPr>
              <w:br w:type="textWrapping"/>
            </w:r>
            <w:r>
              <w:rPr>
                <w:rFonts w:hint="eastAsia" w:ascii="楷体" w:hAnsi="楷体" w:eastAsia="楷体" w:cs="楷体"/>
                <w:color w:val="auto"/>
                <w:kern w:val="2"/>
                <w:sz w:val="24"/>
                <w:szCs w:val="24"/>
                <w:vertAlign w:val="baseline"/>
                <w:lang w:val="en-US" w:eastAsia="zh-CN" w:bidi="ar-SA"/>
              </w:rPr>
              <w:t>2、建党100周年文艺晚会160万（艺术科）：为庆祝中国共产党建党100周年，拟推出一台综合文艺晚会，专题音乐会将结合本土特色和历史背景，创新舞台演出，讴歌我党领导革命的丰功伟绩。</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庆祝建党100周年大型南昌采茶戏《兰妹子》创作演出260万（艺术中心）：在中国共产党的百年历史进程中，江西具有重要的地位。南昌采茶戏精品剧目《兰妹子》将结合本土特色，结合历史背景，展现我党领导革命的丰功伟绩。该剧以南昌采茶戏为底蕴，采用现代舞台方法，创作一台优秀现代戏剧目，将其打造成一台地域性强、特色鲜明的精品力作为建党100周年献礼已完成。文艺晚会根据宣传部指示，该项目已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文旅公共服务  设施建设</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南昌旅游优选诚信平台</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打造南昌旅游诚信联盟品牌，以优质旅游高质量体验助推南昌旅游发展。</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南昌旅行社诚信交易公共服务平台项目</w:t>
            </w:r>
            <w:r>
              <w:rPr>
                <w:rFonts w:hint="eastAsia" w:ascii="楷体" w:hAnsi="楷体" w:eastAsia="楷体" w:cs="楷体"/>
                <w:color w:val="auto"/>
                <w:kern w:val="2"/>
                <w:sz w:val="24"/>
                <w:szCs w:val="24"/>
                <w:vertAlign w:val="baseline"/>
                <w:lang w:val="en-US" w:eastAsia="zh-CN" w:bidi="ar-SA"/>
              </w:rPr>
              <w:br w:type="textWrapping"/>
            </w:r>
            <w:r>
              <w:rPr>
                <w:rFonts w:hint="eastAsia" w:ascii="楷体" w:hAnsi="楷体" w:eastAsia="楷体" w:cs="楷体"/>
                <w:color w:val="auto"/>
                <w:kern w:val="2"/>
                <w:sz w:val="24"/>
                <w:szCs w:val="24"/>
                <w:vertAlign w:val="baseline"/>
                <w:lang w:val="en-US" w:eastAsia="zh-CN" w:bidi="ar-SA"/>
              </w:rPr>
              <w:t>招标代理机构选比工作完毕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南昌市文化广电新闻出版监测平台运行及维保费项目</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南昌市文化广电新闻出版监测平台三年免费维保已到期，2021年平台维保按项目总金额的10%计费；平台运行相关费用等。</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南昌市文化广电新闻出版监测平台运行及维保费项目在11月完成招标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古玩城排练场地续租</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在原租赁协议的基础上，经政府采购程序后与江西工控艺术品有限公司续签2021年度古玩城办公和排练场地租赁合同。</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续租场地政府采购程序合规，已完成支付。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trPr>
        <w:tc>
          <w:tcPr>
            <w:tcW w:w="82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群星剧场设备维护及更换监控设备</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1、舞台电揽、机械设备维护；2、舞台大屏、侧屏、音响设备维护；3、舞美灯光全面维修及更换；4、剧场空调维护改造；5、更换监控设备；6、一楼控制室改造；7、屋顶漏水改造。</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舞台电揽、机械设备维护改造工作已全部完成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8" w:hRule="atLeast"/>
        </w:trPr>
        <w:tc>
          <w:tcPr>
            <w:tcW w:w="82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南昌市小平小道陈列馆配套服务提升项目</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该项目主要具体包括停车场改善、设施设备改造提升、游客中心提升、旅游商品开发、园区环境整治等。</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政府采购程序合规，已完成支付，停车场改善、设施设备改造提升、游客中心提升、旅游商品开发、园区环境整治等全部完成。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trPr>
        <w:tc>
          <w:tcPr>
            <w:tcW w:w="82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文物保护     与利用</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文物保护单位“四有”档案及文物地图编制项目</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主要是编制文物保护单位“四有”档案和不可移动文物地图，建立相对完善的不可移动文物数据库，为提升保护利用水平奠定坚实基础。</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文保单位“四有”档案项目：完成了四有档案项目招标方案，启动了招标程序。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trPr>
        <w:tc>
          <w:tcPr>
            <w:tcW w:w="82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文物征集项目</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主要征集与南昌历史相关并彰显南昌文化特色的陶瓷器、书画、杂件等文物藏品。</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通过专家验收，完成文物征集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南昌非物质文化遗产保护和传承推广活动</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1、开发文旅融合“非遗”文创产品；2、启动南昌非遗代表性大典编纂工作；3、文化遗产日及非遗展示展演系列活动；4、开展非遗传承人关爱工程；5、非遗工坊建设；6、非遗保护工作经费。</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非遗供方建设等后续制度审批一同支付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 xml:space="preserve">优秀艺术作品  创作 </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“英雄汇”南昌原创音乐大奖赛</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鼓励商业演出，丰富夜经济业态。</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市政府未批准，项目取消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南昌采茶戏微电影《第一推销员》</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戏剧微电影《第一推销员》取材于本市优秀驻村第一书记的真实故事，讲述驻村第一书记应伟为决战全面小康，巧妙推送脱贫村民农副产品的故事。剧情诙谐机趣，情节层层相扣，喜剧色彩浓厚。电影脚本初稿得到业内专家的好评，认为是反应南昌市委市政府决战脱贫攻坚的“好戏”。</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已完成拍摄，并按照合同支付款项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《那年八一》（暂定）沉浸式情景剧</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该项目主要依托八一起义总指挥部旧址，采取参观群众演出的方式，策划一部沉浸式情景剧，再现南昌起义前夜发生的故事，让参观群众亲身体验1927年8月1日前后在南昌发生的那场惊心动魄的场面，感受90多年前南昌起义的烽火岁月，增强八一起义纪念馆的沉浸性与体验感，传承红色基因。</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演绎部分已经完成。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《信仰的力量——中共中央东南分局纪实文献纪录片》拍摄项目</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主要是委托专业机构拍摄一部历史文献纪录片并在国内权威电视频道播放，后期制作光盘做教育资料之用。该纪录片通过历史图片、文献资料等方式，全面讲述中共中央东南分局的组建历史、组织机构和工作成绩，重点展示中共中央东南分局为新四军军部的组建、新四军队伍的改编和抗日民族统一战线的建立与巩固、抗日救亡运动的推进、抗日战争的胜利做出的重大历史贡献，以此缅怀革命先烈、弘扬革命精神，传承红色基因，向建党100周年献礼！</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新四军馆按要求申请项目，并按照政府采购的相关程序签订招标代理合同，按程序挂网公示招标。10月19日项目开标，11月15日接到南昌市财政局《政府采购废标通知书》，目前该项目已终止。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采茶戏剧本创作</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为迎接第八届江西艺术节，策划创作一部南昌采茶戏剧本。</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已围绕采茶戏剧本创作，组织召开5次专题座谈会。完成创作，并表演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其他文旅活动</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文旅行业人才培训</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1、开展文旅行业人才队伍培训100万；</w:t>
            </w:r>
            <w:r>
              <w:rPr>
                <w:rFonts w:hint="eastAsia" w:ascii="楷体" w:hAnsi="楷体" w:eastAsia="楷体" w:cs="楷体"/>
                <w:color w:val="auto"/>
                <w:kern w:val="2"/>
                <w:sz w:val="24"/>
                <w:szCs w:val="24"/>
                <w:vertAlign w:val="baseline"/>
                <w:lang w:val="en-US" w:eastAsia="zh-CN" w:bidi="ar-SA"/>
              </w:rPr>
              <w:br w:type="textWrapping"/>
            </w:r>
            <w:r>
              <w:rPr>
                <w:rFonts w:hint="eastAsia" w:ascii="楷体" w:hAnsi="楷体" w:eastAsia="楷体" w:cs="楷体"/>
                <w:color w:val="auto"/>
                <w:kern w:val="2"/>
                <w:sz w:val="24"/>
                <w:szCs w:val="24"/>
                <w:vertAlign w:val="baseline"/>
                <w:lang w:val="en-US" w:eastAsia="zh-CN" w:bidi="ar-SA"/>
              </w:rPr>
              <w:t>2、红色旅游培训班35万：解读红色旅游政策；红色旅游与其他旅游业态的融合发展；红色故事讲解技巧等；</w:t>
            </w:r>
            <w:r>
              <w:rPr>
                <w:rFonts w:hint="eastAsia" w:ascii="楷体" w:hAnsi="楷体" w:eastAsia="楷体" w:cs="楷体"/>
                <w:color w:val="auto"/>
                <w:kern w:val="2"/>
                <w:sz w:val="24"/>
                <w:szCs w:val="24"/>
                <w:vertAlign w:val="baseline"/>
                <w:lang w:val="en-US" w:eastAsia="zh-CN" w:bidi="ar-SA"/>
              </w:rPr>
              <w:br w:type="textWrapping"/>
            </w:r>
            <w:r>
              <w:rPr>
                <w:rFonts w:hint="eastAsia" w:ascii="楷体" w:hAnsi="楷体" w:eastAsia="楷体" w:cs="楷体"/>
                <w:color w:val="auto"/>
                <w:kern w:val="2"/>
                <w:sz w:val="24"/>
                <w:szCs w:val="24"/>
                <w:vertAlign w:val="baseline"/>
                <w:lang w:val="en-US" w:eastAsia="zh-CN" w:bidi="ar-SA"/>
              </w:rPr>
              <w:t>3、旅游行业业务培训20万:对星级饭店、绿色饭店、民宿、旅行社进行管理业务培训。</w:t>
            </w:r>
            <w:r>
              <w:rPr>
                <w:rFonts w:hint="eastAsia" w:ascii="楷体" w:hAnsi="楷体" w:eastAsia="楷体" w:cs="楷体"/>
                <w:color w:val="auto"/>
                <w:kern w:val="2"/>
                <w:sz w:val="24"/>
                <w:szCs w:val="24"/>
                <w:vertAlign w:val="baseline"/>
                <w:lang w:val="en-US" w:eastAsia="zh-CN" w:bidi="ar-SA"/>
              </w:rPr>
              <w:br w:type="textWrapping"/>
            </w:r>
            <w:r>
              <w:rPr>
                <w:rFonts w:hint="eastAsia" w:ascii="楷体" w:hAnsi="楷体" w:eastAsia="楷体" w:cs="楷体"/>
                <w:color w:val="auto"/>
                <w:kern w:val="2"/>
                <w:sz w:val="24"/>
                <w:szCs w:val="24"/>
                <w:vertAlign w:val="baseline"/>
                <w:lang w:val="en-US" w:eastAsia="zh-CN" w:bidi="ar-SA"/>
              </w:rPr>
              <w:t>4、人才培养30万（艺术专项人才培养2.5万：从南昌市文化艺术中心推荐1名干部参加艺术培训；文旅融合专题研修班17.5万：通过学习，提升南昌市各县区的宣传部长及分管县（区）长的综合素质；组织人员参加会计专业培训，提升财务人员业务水平10万）。</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举办了2021年南昌文旅管理人员学习班、2021年南昌市导游人才培训班（第一期）、举办了2021年南昌市导游人才培训班（第二期）。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旅游统计</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全面掌握和了解全市接待国内旅游（包括过夜游客和一日游）人数、人天数和旅游花费等有关情况，分析客源构成、停留时间、游客花费构成、游客偏好等结构性数据，测算全市国内旅游接待人数、国内旅游收入和国内旅游人均花费等数据。</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南昌市旅游统计项目建设主要内容包括两大块，一是实施抽样调查，开展国内游客现场抽样问卷及数据收集工作；二是结合南昌市文旅大数据监管平台，实现旅游统计数据的统计分析与应用，开展南昌市12个县（区）重大节假日旅游统计填报数据平台的升级搭建及该平台的应用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调研及提升旅游企业服务质量标准等</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调研及提升旅行社服务质量标准；调研及提升旅游饭店清洁卫生质量标准。</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推动旅行社行业的优化升级、引导旅行社行业合法。合规开展业务、提升行业服务水平和接待能力、助推我市旅游行业全面升级，项目分为三个阶段形成调研报告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导游身份标志卡制卡</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全市导游身份标志卡制卡</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购买彩色色带120卷、卡套及卡绳1200套、PVC白卡3000张，实际支出4.986万元，已拨付。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开展自媒体宣传</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拍摄城市宣传片通过自媒体宣传。</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为加强我市“天下英雄城”旅游形象宣传，巩固和扩大我市“天下英雄城”旅游形象广告宣传效果和覆盖面，增强影响力。我局将开展自媒体宣传项目。通过政府采购，招标执行。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建设智慧文旅指挥调度监测系统二期</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智慧文旅智慧调度监测系统项目包含南昌市旅游大数据指挥调度监测平台的综合大屏界面、景区监测界面、酒店监测系统、旅游舆情监测和旅游数据报告五大系统建设。</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推进智慧文旅指挥调度监测系统（文广新旅综合监测平台二期）建设，拨付合同尾款。</w:t>
            </w:r>
          </w:p>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vertAlign w:val="baseline"/>
                <w:lang w:val="en-US" w:eastAsia="zh-CN"/>
              </w:rPr>
            </w:pP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送戏下乡</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2020年送戏下乡项目，政府采购中标金额24万元</w:t>
            </w:r>
          </w:p>
        </w:tc>
        <w:tc>
          <w:tcPr>
            <w:tcW w:w="363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color w:val="auto"/>
                <w:kern w:val="2"/>
                <w:sz w:val="24"/>
                <w:szCs w:val="24"/>
                <w:vertAlign w:val="baseline"/>
                <w:lang w:val="en-US" w:eastAsia="zh-CN" w:bidi="ar-SA"/>
              </w:rPr>
            </w:pPr>
            <w:r>
              <w:rPr>
                <w:rFonts w:hint="eastAsia" w:ascii="楷体" w:hAnsi="楷体" w:eastAsia="楷体" w:cs="楷体"/>
                <w:color w:val="auto"/>
                <w:kern w:val="2"/>
                <w:sz w:val="24"/>
                <w:szCs w:val="24"/>
                <w:vertAlign w:val="baseline"/>
                <w:lang w:val="en-US" w:eastAsia="zh-CN" w:bidi="ar-SA"/>
              </w:rPr>
              <w:t>已完成尾款支付</w:t>
            </w:r>
          </w:p>
        </w:tc>
      </w:tr>
    </w:tbl>
    <w:p>
      <w:pPr>
        <w:spacing w:line="520" w:lineRule="exact"/>
        <w:jc w:val="left"/>
        <w:rPr>
          <w:rFonts w:hint="eastAsia" w:ascii="仿宋_GB2312" w:hAnsi="仿宋_GB2312" w:eastAsia="仿宋_GB2312" w:cs="仿宋_GB2312"/>
          <w:sz w:val="32"/>
          <w:szCs w:val="32"/>
          <w:lang w:val="en-US" w:eastAsia="zh-CN"/>
        </w:rPr>
      </w:pPr>
      <w:r>
        <w:rPr>
          <w:rFonts w:hint="eastAsia" w:ascii="仿宋_GB2312" w:hAnsi="仿宋" w:eastAsia="仿宋_GB2312" w:cs="宋体"/>
          <w:kern w:val="0"/>
          <w:sz w:val="32"/>
          <w:szCs w:val="32"/>
        </w:rPr>
        <w:t xml:space="preserve">             </w:t>
      </w:r>
      <w:r>
        <w:rPr>
          <w:rFonts w:ascii="仿宋_GB2312" w:hAnsi="仿宋" w:eastAsia="仿宋_GB2312" w:cs="宋体"/>
          <w:kern w:val="0"/>
          <w:sz w:val="32"/>
          <w:szCs w:val="32"/>
        </w:rPr>
        <w:t xml:space="preserve">       </w:t>
      </w:r>
      <w:r>
        <w:rPr>
          <w:rFonts w:hint="eastAsia" w:ascii="仿宋_GB2312" w:hAnsi="仿宋" w:eastAsia="仿宋_GB2312" w:cs="宋体"/>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Times New Roman"/>
          <w:sz w:val="32"/>
          <w:szCs w:val="32"/>
          <w:lang w:val="en-US" w:eastAsia="zh-CN"/>
        </w:rPr>
      </w:pPr>
      <w:r>
        <w:rPr>
          <w:rFonts w:hint="eastAsia" w:ascii="仿宋_GB2312" w:hAnsi="仿宋" w:eastAsia="仿宋_GB2312" w:cs="宋体"/>
          <w:kern w:val="0"/>
          <w:sz w:val="32"/>
          <w:szCs w:val="32"/>
          <w:lang w:val="en-US" w:eastAsia="zh-CN"/>
        </w:rPr>
        <w:t>经考核</w:t>
      </w:r>
      <w:r>
        <w:rPr>
          <w:rFonts w:hint="eastAsia" w:ascii="仿宋_GB2312" w:hAnsi="仿宋" w:eastAsia="仿宋_GB2312" w:cs="宋体"/>
          <w:kern w:val="0"/>
          <w:sz w:val="32"/>
          <w:szCs w:val="32"/>
        </w:rPr>
        <w:t>。</w:t>
      </w:r>
      <w:r>
        <w:rPr>
          <w:rFonts w:hint="eastAsia" w:ascii="仿宋" w:hAnsi="仿宋" w:eastAsia="仿宋" w:cs="仿宋_GB2312"/>
          <w:sz w:val="32"/>
          <w:szCs w:val="32"/>
          <w:lang w:val="en-US" w:eastAsia="zh-CN"/>
        </w:rPr>
        <w:t>分值20分，得分19.6分</w:t>
      </w:r>
      <w:r>
        <w:rPr>
          <w:rFonts w:hint="eastAsia" w:ascii="仿宋" w:hAnsi="仿宋"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Chars="0" w:firstLine="562" w:firstLineChars="200"/>
        <w:textAlignment w:val="auto"/>
        <w:outlineLvl w:val="0"/>
        <w:rPr>
          <w:rFonts w:hint="eastAsia" w:ascii="黑体" w:eastAsia="黑体"/>
          <w:sz w:val="32"/>
          <w:szCs w:val="32"/>
        </w:rPr>
      </w:pPr>
      <w:r>
        <w:rPr>
          <w:rFonts w:hint="eastAsia" w:ascii="楷体_GB2312" w:hAnsi="Calibri" w:eastAsia="楷体_GB2312" w:cs="Times New Roman"/>
          <w:b/>
          <w:color w:val="000000"/>
          <w:sz w:val="28"/>
          <w:szCs w:val="28"/>
        </w:rPr>
        <w:t>3、产出时效指标情况分析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Times New Roman"/>
          <w:sz w:val="32"/>
          <w:szCs w:val="32"/>
          <w:lang w:val="en-US" w:eastAsia="zh-CN"/>
        </w:rPr>
      </w:pPr>
      <w:r>
        <w:rPr>
          <w:rFonts w:hint="eastAsia" w:ascii="仿宋" w:hAnsi="仿宋" w:eastAsia="仿宋" w:cs="仿宋_GB2312"/>
          <w:sz w:val="32"/>
          <w:szCs w:val="32"/>
          <w:lang w:val="en-US" w:eastAsia="zh-CN"/>
        </w:rPr>
        <w:t>所有工作按照工作计划进行，分值5分，得分5分</w:t>
      </w:r>
      <w:r>
        <w:rPr>
          <w:rFonts w:hint="eastAsia" w:ascii="仿宋" w:hAnsi="仿宋"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Chars="0" w:firstLine="562" w:firstLineChars="200"/>
        <w:textAlignment w:val="auto"/>
        <w:outlineLvl w:val="0"/>
        <w:rPr>
          <w:rFonts w:hint="eastAsia" w:ascii="楷体_GB2312" w:hAnsi="Calibri" w:eastAsia="楷体_GB2312" w:cs="Times New Roman"/>
          <w:b/>
          <w:color w:val="000000"/>
          <w:sz w:val="28"/>
          <w:szCs w:val="28"/>
        </w:rPr>
      </w:pPr>
      <w:r>
        <w:rPr>
          <w:rFonts w:hint="eastAsia" w:ascii="楷体_GB2312" w:hAnsi="Calibri" w:eastAsia="楷体_GB2312" w:cs="Times New Roman"/>
          <w:b/>
          <w:color w:val="000000"/>
          <w:sz w:val="28"/>
          <w:szCs w:val="28"/>
        </w:rPr>
        <w:t>4、产出成本指标情况分析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2021年12月</w:t>
      </w:r>
      <w:r>
        <w:rPr>
          <w:rFonts w:hint="eastAsia" w:ascii="仿宋" w:hAnsi="仿宋" w:eastAsia="仿宋" w:cs="Times New Roman"/>
          <w:sz w:val="32"/>
          <w:szCs w:val="32"/>
          <w:lang w:val="en-US" w:eastAsia="zh-CN"/>
        </w:rPr>
        <w:t>全年资金支付率为54.98%。</w:t>
      </w:r>
      <w:r>
        <w:rPr>
          <w:rFonts w:hint="eastAsia" w:ascii="仿宋" w:hAnsi="仿宋" w:eastAsia="仿宋" w:cs="仿宋_GB2312"/>
          <w:sz w:val="32"/>
          <w:szCs w:val="32"/>
          <w:lang w:val="en-US" w:eastAsia="zh-CN"/>
        </w:rPr>
        <w:t>分值10分，得分5.5分。</w:t>
      </w:r>
    </w:p>
    <w:p>
      <w:pPr>
        <w:keepNext w:val="0"/>
        <w:keepLines w:val="0"/>
        <w:pageBreakBefore w:val="0"/>
        <w:widowControl w:val="0"/>
        <w:kinsoku/>
        <w:wordWrap/>
        <w:overflowPunct/>
        <w:topLinePunct w:val="0"/>
        <w:autoSpaceDE/>
        <w:autoSpaceDN/>
        <w:bidi w:val="0"/>
        <w:adjustRightInd/>
        <w:snapToGrid/>
        <w:spacing w:line="600" w:lineRule="exact"/>
        <w:ind w:leftChars="0" w:firstLine="562" w:firstLineChars="200"/>
        <w:textAlignment w:val="auto"/>
        <w:outlineLvl w:val="0"/>
        <w:rPr>
          <w:rFonts w:hint="eastAsia" w:ascii="黑体" w:eastAsia="黑体"/>
          <w:sz w:val="32"/>
          <w:szCs w:val="32"/>
        </w:rPr>
      </w:pPr>
      <w:r>
        <w:rPr>
          <w:rFonts w:hint="eastAsia" w:ascii="楷体_GB2312" w:hAnsi="Calibri" w:eastAsia="楷体_GB2312" w:cs="Times New Roman"/>
          <w:b/>
          <w:color w:val="000000"/>
          <w:sz w:val="28"/>
          <w:szCs w:val="28"/>
        </w:rPr>
        <w:t>（四）项目效益情况</w:t>
      </w:r>
    </w:p>
    <w:p>
      <w:pPr>
        <w:keepNext w:val="0"/>
        <w:keepLines w:val="0"/>
        <w:pageBreakBefore w:val="0"/>
        <w:widowControl w:val="0"/>
        <w:kinsoku/>
        <w:wordWrap/>
        <w:overflowPunct/>
        <w:topLinePunct w:val="0"/>
        <w:autoSpaceDE/>
        <w:autoSpaceDN/>
        <w:bidi w:val="0"/>
        <w:adjustRightInd/>
        <w:snapToGrid/>
        <w:spacing w:line="600" w:lineRule="exact"/>
        <w:ind w:leftChars="0" w:firstLine="562" w:firstLineChars="200"/>
        <w:textAlignment w:val="auto"/>
        <w:outlineLvl w:val="0"/>
        <w:rPr>
          <w:rFonts w:hint="eastAsia" w:ascii="楷体_GB2312" w:hAnsi="Calibri" w:eastAsia="楷体_GB2312" w:cs="Times New Roman"/>
          <w:b/>
          <w:color w:val="000000"/>
          <w:sz w:val="28"/>
          <w:szCs w:val="28"/>
        </w:rPr>
      </w:pPr>
      <w:r>
        <w:rPr>
          <w:rFonts w:hint="eastAsia" w:ascii="楷体_GB2312" w:hAnsi="Calibri" w:eastAsia="楷体_GB2312" w:cs="Times New Roman"/>
          <w:b/>
          <w:color w:val="000000"/>
          <w:sz w:val="28"/>
          <w:szCs w:val="28"/>
          <w:lang w:val="en-US" w:eastAsia="zh-CN"/>
        </w:rPr>
        <w:t>1</w:t>
      </w:r>
      <w:r>
        <w:rPr>
          <w:rFonts w:hint="eastAsia" w:ascii="楷体_GB2312" w:hAnsi="Calibri" w:eastAsia="楷体_GB2312" w:cs="Times New Roman"/>
          <w:b/>
          <w:color w:val="000000"/>
          <w:sz w:val="28"/>
          <w:szCs w:val="28"/>
        </w:rPr>
        <w:t>、</w:t>
      </w:r>
      <w:r>
        <w:rPr>
          <w:rFonts w:hint="eastAsia" w:ascii="楷体_GB2312" w:hAnsi="Calibri" w:eastAsia="楷体_GB2312" w:cs="Times New Roman"/>
          <w:b/>
          <w:color w:val="000000"/>
          <w:sz w:val="28"/>
          <w:szCs w:val="28"/>
          <w:lang w:val="en-US" w:eastAsia="zh-CN"/>
        </w:rPr>
        <w:t>社会</w:t>
      </w:r>
      <w:r>
        <w:rPr>
          <w:rFonts w:hint="eastAsia" w:ascii="楷体_GB2312" w:hAnsi="Calibri" w:eastAsia="楷体_GB2312" w:cs="Times New Roman"/>
          <w:b/>
          <w:color w:val="000000"/>
          <w:sz w:val="28"/>
          <w:szCs w:val="28"/>
        </w:rPr>
        <w:t>效益指标情况分析</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 w:hAnsi="仿宋" w:eastAsia="仿宋" w:cs="仿宋"/>
          <w:bCs/>
          <w:color w:val="000000"/>
          <w:sz w:val="32"/>
          <w:szCs w:val="32"/>
          <w:lang w:val="en-US" w:eastAsia="zh-CN"/>
        </w:rPr>
      </w:pPr>
      <w:r>
        <w:rPr>
          <w:rFonts w:hint="eastAsia" w:ascii="仿宋" w:hAnsi="仿宋" w:eastAsia="仿宋" w:cs="仿宋"/>
          <w:bCs/>
          <w:color w:val="000000"/>
          <w:sz w:val="32"/>
          <w:szCs w:val="32"/>
          <w:lang w:val="en-US" w:eastAsia="zh-CN"/>
        </w:rPr>
        <w:t>城市品牌形象持续提升。一是启动城市宣传片拍摄。结合我市文旅发展的新形势，以及不断涌现的城市新元素、新地标，重新策划拍摄城市宣传片，并通过自媒体开展宣传，以更新的画面，更全面、更应景地展现南昌新时代魅力和形象。二是形成全媒体宣传矩阵。</w:t>
      </w:r>
      <w:r>
        <w:rPr>
          <w:rFonts w:hint="default" w:ascii="仿宋" w:hAnsi="仿宋" w:eastAsia="仿宋" w:cs="仿宋"/>
          <w:bCs/>
          <w:color w:val="000000"/>
          <w:sz w:val="32"/>
          <w:szCs w:val="32"/>
          <w:lang w:val="en-US" w:eastAsia="zh-CN"/>
        </w:rPr>
        <w:t>在南昌电视台、南昌日报等主要媒体设立“千年豫章郡 天下英雄城”文旅专版（专栏）</w:t>
      </w:r>
      <w:r>
        <w:rPr>
          <w:rFonts w:hint="eastAsia" w:ascii="仿宋" w:hAnsi="仿宋" w:eastAsia="仿宋" w:cs="仿宋"/>
          <w:bCs/>
          <w:color w:val="000000"/>
          <w:sz w:val="32"/>
          <w:szCs w:val="32"/>
          <w:lang w:val="en-US" w:eastAsia="zh-CN"/>
        </w:rPr>
        <w:t>，抢占微信公众号、抖音快手等头部新媒体平台，以创意短视频的形式，打造南昌文旅“新热点”“新看点”，</w:t>
      </w:r>
      <w:r>
        <w:rPr>
          <w:rFonts w:hint="default" w:ascii="仿宋" w:hAnsi="仿宋" w:eastAsia="仿宋" w:cs="仿宋"/>
          <w:bCs/>
          <w:color w:val="000000"/>
          <w:sz w:val="32"/>
          <w:szCs w:val="32"/>
          <w:lang w:val="en-US" w:eastAsia="zh-CN"/>
        </w:rPr>
        <w:t>1-10月，共发布各类推文近2000篇，阅读量</w:t>
      </w:r>
      <w:r>
        <w:rPr>
          <w:rFonts w:hint="eastAsia" w:ascii="仿宋" w:hAnsi="仿宋" w:eastAsia="仿宋" w:cs="仿宋"/>
          <w:bCs/>
          <w:color w:val="000000"/>
          <w:sz w:val="32"/>
          <w:szCs w:val="32"/>
          <w:lang w:val="en-US" w:eastAsia="zh-CN"/>
        </w:rPr>
        <w:t>突破1亿人次。三是加强旅游促销合作。赴广东省开展“千年豫章郡 天下英雄城”专题文化旅游活动，推介南昌特色文旅产品和优惠政策，吸引更多的旅游者走进南昌；与莆田市文旅局签订战略旅游合作协议，积极对接广州、银川、浙东南五市、抚州等文旅部门来昌宣传推介，搭建沟通交流渠道。</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 w:hAnsi="仿宋" w:eastAsia="仿宋" w:cs="仿宋"/>
          <w:bCs/>
          <w:color w:val="000000"/>
          <w:sz w:val="32"/>
          <w:szCs w:val="32"/>
          <w:lang w:val="zh-CN" w:eastAsia="zh-CN"/>
        </w:rPr>
      </w:pPr>
      <w:r>
        <w:rPr>
          <w:rFonts w:hint="eastAsia" w:ascii="仿宋" w:hAnsi="仿宋" w:eastAsia="仿宋" w:cs="仿宋"/>
          <w:bCs/>
          <w:color w:val="000000"/>
          <w:sz w:val="32"/>
          <w:szCs w:val="32"/>
          <w:lang w:val="en-US" w:eastAsia="zh-CN"/>
        </w:rPr>
        <w:t>旅游一卡通服务内容增加。抢抓我市列入第一批国家文化和旅游消费试点城市的机遇，出台一揽子促消费政策举措，激活文旅市场消费潜力。推出了“南昌文旅一卡通”，在原有“南昌旅游一卡通”旅游景区对持卡人免费的基础上，采取政府补贴的形式，增加演艺、影院、书店等文化企业对持卡人免费或优惠的政策，使旅游一卡通增加文化服务内容，扩大消费覆盖面。自2021年7月19日文旅一卡通正式上线至10月25日，通过一卡通预约演艺、书店、影院人次达10万人次，极大地激发了市民文旅消费的热情，文旅消费带动成为文旅经济增长新动力。2021年上半年，实现旅游接待人次8971.3万，旅游总收入908.01亿元，同比分别增长18.65%和23.10%，均实现两位数增长；全市电影票房收入达2.13亿元，观影人次564万，居全省首位。国庆黄金周期间，全市接待游客1438.78万人次，同比增长133%，占全省21.84%，排全省首位，恢复至2019年同期的104%；旅游综合收入64.51亿元,同比增长225.3%，占全省15.92%，恢复至2019年同期的79.93%，为全市经济社会发展提供了坚强有力支撑</w:t>
      </w:r>
      <w:r>
        <w:rPr>
          <w:rFonts w:hint="eastAsia" w:ascii="仿宋" w:hAnsi="仿宋" w:eastAsia="仿宋" w:cs="仿宋"/>
          <w:bCs/>
          <w:color w:val="000000"/>
          <w:sz w:val="32"/>
          <w:szCs w:val="32"/>
          <w:lang w:val="zh-CN"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 w:hAnsi="仿宋" w:eastAsia="仿宋" w:cs="仿宋"/>
          <w:bCs/>
          <w:color w:val="000000"/>
          <w:sz w:val="32"/>
          <w:szCs w:val="32"/>
          <w:lang w:val="zh-CN" w:eastAsia="zh-CN"/>
        </w:rPr>
      </w:pPr>
      <w:r>
        <w:rPr>
          <w:rFonts w:hint="eastAsia" w:ascii="仿宋" w:hAnsi="仿宋" w:eastAsia="仿宋" w:cs="仿宋"/>
          <w:bCs/>
          <w:color w:val="000000"/>
          <w:sz w:val="32"/>
          <w:szCs w:val="32"/>
          <w:lang w:val="en-US" w:eastAsia="zh-CN"/>
        </w:rPr>
        <w:t>旅游功能品质提升。一是打造精品景区街区。八大山人梅湖景区、南昌汉代海昏侯国考古遗址公园、南昌市小平小道陈列馆成功创建国家4A级旅游景区；组织原城纪·南昌城市文化街区等7家单位申报创建国家4A级旅游景区，5家已通过评审；万寿宫历史文化街区对外开街，被评为首批省级夜间文旅消费集聚区、省级旅游休闲街区，万寿宫历史文化街区、原城纪·南昌特色历史文化街区入选首批江西省特色文化街区，成为文化和旅游融合发展的重要平台。二是旅游业态更加丰富。我市旅游品牌快速增长，呈现百花齐放之势，旅游业态更加丰富。湾里管理局太平镇被评为全国乡村旅游重点镇，新建区溪霞镇店前村被评为全国乡村旅游重点村，南昌县入选2021年省级全域旅游示范区，安义县黄洲镇茅店村、南昌县黄马乡罗渡村被评为省级乡村旅游重点村；浒南原城纪度假村、绿都生态谷被评为省4A级乡村旅游点。三是推动旅游商品营销体系建设。在全市4A级及以上旅游景区打造了12家“天下英雄城·南昌礼物”旗舰店，组织“南昌礼物”在旗舰店进行销售，培育“南昌礼物”营销体系，进一步做强“南昌礼物”品牌；组织旅游商品企业参加2021中国特色旅游商品大赛和2021中国旅游商品大赛（健康主题），我市煌上煌匠鸭·煌上煌功夫鸭休闲包装系列荣获“2021中国旅游商品大赛”银奖，南昌八一起义纪念馆·意气风发小夜灯荣获“2021中国旅游商品大赛”铜奖</w:t>
      </w:r>
      <w:r>
        <w:rPr>
          <w:rFonts w:hint="eastAsia" w:ascii="仿宋" w:hAnsi="仿宋" w:eastAsia="仿宋" w:cs="仿宋"/>
          <w:bCs/>
          <w:color w:val="000000"/>
          <w:sz w:val="32"/>
          <w:szCs w:val="32"/>
          <w:lang w:val="zh-CN"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60" w:lineRule="exact"/>
        <w:ind w:leftChars="0" w:firstLine="640" w:firstLineChars="200"/>
        <w:jc w:val="both"/>
        <w:textAlignment w:val="auto"/>
        <w:rPr>
          <w:rFonts w:hint="default" w:ascii="仿宋" w:hAnsi="仿宋" w:eastAsia="仿宋" w:cs="仿宋"/>
          <w:bCs/>
          <w:color w:val="000000"/>
          <w:sz w:val="32"/>
          <w:szCs w:val="32"/>
          <w:lang w:val="en-US" w:eastAsia="zh-CN"/>
        </w:rPr>
      </w:pPr>
      <w:r>
        <w:rPr>
          <w:rFonts w:hint="eastAsia" w:ascii="仿宋" w:hAnsi="仿宋" w:eastAsia="仿宋" w:cs="仿宋"/>
          <w:bCs/>
          <w:color w:val="000000"/>
          <w:sz w:val="32"/>
          <w:szCs w:val="32"/>
          <w:lang w:val="en-US" w:eastAsia="zh-CN"/>
        </w:rPr>
        <w:t>深入开展元旦春节期间文化和旅游市场专项执法检查、未经许可经营旅行社业务专项整治行动、旅行社及服务网点不合理“低价游”专项整治行动等，组织开展“清风行动”“清源2021”专项行动，专项整治制售传播政治性有害电子书和网络游戏，购买境外输入在境内出版非法制售出版物等行为；组织开展“固边2021”专项行动，专项整治制售传播非法宗教出版物、“法轮功”“全能神”等邪教反动宣传品，收缴面向未成年人的双语宗教读物14册，收缴宗教类非法出版物3400余册；开展侵权盗版及非法出版物集中销毁活动。集中销毁侵权盗版音像制品、淫秽色情光盘以及其他盗版及非法书报刊0.8万余件</w:t>
      </w:r>
      <w:r>
        <w:rPr>
          <w:rFonts w:hint="eastAsia" w:ascii="仿宋" w:hAnsi="仿宋" w:eastAsia="仿宋" w:cs="仿宋"/>
          <w:bCs/>
          <w:color w:val="000000"/>
          <w:sz w:val="32"/>
          <w:szCs w:val="32"/>
          <w:lang w:val="zh-CN" w:eastAsia="zh-CN"/>
        </w:rPr>
        <w:t>。</w:t>
      </w:r>
      <w:r>
        <w:rPr>
          <w:rFonts w:hint="eastAsia" w:ascii="仿宋" w:hAnsi="仿宋" w:eastAsia="仿宋" w:cs="仿宋"/>
          <w:bCs/>
          <w:color w:val="000000"/>
          <w:sz w:val="32"/>
          <w:szCs w:val="32"/>
          <w:lang w:val="en-US" w:eastAsia="zh-CN"/>
        </w:rPr>
        <w:t>经评价，共8分，得8分。</w:t>
      </w:r>
    </w:p>
    <w:p>
      <w:pPr>
        <w:keepNext w:val="0"/>
        <w:keepLines w:val="0"/>
        <w:pageBreakBefore w:val="0"/>
        <w:widowControl w:val="0"/>
        <w:kinsoku/>
        <w:wordWrap/>
        <w:overflowPunct/>
        <w:topLinePunct w:val="0"/>
        <w:autoSpaceDE/>
        <w:autoSpaceDN/>
        <w:bidi w:val="0"/>
        <w:adjustRightInd/>
        <w:snapToGrid/>
        <w:spacing w:line="600" w:lineRule="exact"/>
        <w:ind w:leftChars="0" w:firstLine="562" w:firstLineChars="200"/>
        <w:textAlignment w:val="auto"/>
        <w:outlineLvl w:val="0"/>
        <w:rPr>
          <w:rFonts w:hint="eastAsia" w:ascii="黑体" w:eastAsia="黑体"/>
          <w:sz w:val="32"/>
          <w:szCs w:val="32"/>
        </w:rPr>
      </w:pPr>
      <w:r>
        <w:rPr>
          <w:rFonts w:hint="eastAsia" w:ascii="楷体_GB2312" w:hAnsi="Calibri" w:eastAsia="楷体_GB2312" w:cs="Times New Roman"/>
          <w:b/>
          <w:color w:val="000000"/>
          <w:sz w:val="28"/>
          <w:szCs w:val="28"/>
          <w:lang w:val="en-US" w:eastAsia="zh-CN"/>
        </w:rPr>
        <w:t>2</w:t>
      </w:r>
      <w:r>
        <w:rPr>
          <w:rFonts w:hint="eastAsia" w:ascii="楷体_GB2312" w:hAnsi="Calibri" w:eastAsia="楷体_GB2312" w:cs="Times New Roman"/>
          <w:b/>
          <w:color w:val="000000"/>
          <w:sz w:val="28"/>
          <w:szCs w:val="28"/>
        </w:rPr>
        <w:t>、可持续影响指标情况分析</w:t>
      </w:r>
    </w:p>
    <w:p>
      <w:pPr>
        <w:pStyle w:val="5"/>
        <w:ind w:firstLine="640" w:firstLineChars="200"/>
        <w:rPr>
          <w:rFonts w:hint="eastAsia" w:ascii="仿宋" w:hAnsi="仿宋" w:eastAsia="仿宋" w:cs="仿宋"/>
          <w:bCs/>
          <w:color w:val="000000"/>
          <w:kern w:val="2"/>
          <w:sz w:val="32"/>
          <w:szCs w:val="32"/>
          <w:lang w:val="en-US" w:eastAsia="zh-CN" w:bidi="ar-SA"/>
        </w:rPr>
      </w:pPr>
      <w:r>
        <w:rPr>
          <w:rFonts w:hint="eastAsia" w:ascii="仿宋" w:hAnsi="仿宋" w:eastAsia="仿宋" w:cs="仿宋"/>
          <w:bCs/>
          <w:color w:val="000000"/>
          <w:kern w:val="2"/>
          <w:sz w:val="32"/>
          <w:szCs w:val="32"/>
          <w:lang w:val="en-US" w:eastAsia="zh-CN" w:bidi="ar-SA"/>
        </w:rPr>
        <w:t>编制《南昌市“十四五”文化和旅游发展规划》完成情况。根据全市“十四五”规划工作会议精神，充分</w:t>
      </w:r>
      <w:r>
        <w:rPr>
          <w:rFonts w:hint="default" w:ascii="仿宋" w:hAnsi="仿宋" w:eastAsia="仿宋" w:cs="仿宋"/>
          <w:bCs/>
          <w:color w:val="000000"/>
          <w:kern w:val="2"/>
          <w:sz w:val="32"/>
          <w:szCs w:val="32"/>
          <w:lang w:val="en-US" w:eastAsia="zh-CN" w:bidi="ar-SA"/>
        </w:rPr>
        <w:t>发扬民主、开门问策、集思广益，先后召开</w:t>
      </w:r>
      <w:r>
        <w:rPr>
          <w:rFonts w:hint="eastAsia" w:ascii="仿宋" w:hAnsi="仿宋" w:eastAsia="仿宋" w:cs="仿宋"/>
          <w:bCs/>
          <w:color w:val="000000"/>
          <w:kern w:val="2"/>
          <w:sz w:val="32"/>
          <w:szCs w:val="32"/>
          <w:lang w:val="en-US" w:eastAsia="zh-CN" w:bidi="ar-SA"/>
        </w:rPr>
        <w:t>规划评审</w:t>
      </w:r>
      <w:r>
        <w:rPr>
          <w:rFonts w:hint="default" w:ascii="仿宋" w:hAnsi="仿宋" w:eastAsia="仿宋" w:cs="仿宋"/>
          <w:bCs/>
          <w:color w:val="000000"/>
          <w:kern w:val="2"/>
          <w:sz w:val="32"/>
          <w:szCs w:val="32"/>
          <w:lang w:val="en-US" w:eastAsia="zh-CN" w:bidi="ar-SA"/>
        </w:rPr>
        <w:t>会议十余次（不含赴县区及社会调研）</w:t>
      </w:r>
      <w:r>
        <w:rPr>
          <w:rFonts w:hint="eastAsia" w:ascii="仿宋" w:hAnsi="仿宋" w:eastAsia="仿宋" w:cs="仿宋"/>
          <w:bCs/>
          <w:color w:val="000000"/>
          <w:kern w:val="2"/>
          <w:sz w:val="32"/>
          <w:szCs w:val="32"/>
          <w:lang w:val="en-US" w:eastAsia="zh-CN" w:bidi="ar-SA"/>
        </w:rPr>
        <w:t>，向社会公开收集</w:t>
      </w:r>
      <w:r>
        <w:rPr>
          <w:rFonts w:hint="default" w:ascii="仿宋" w:hAnsi="仿宋" w:eastAsia="仿宋" w:cs="仿宋"/>
          <w:bCs/>
          <w:color w:val="000000"/>
          <w:kern w:val="2"/>
          <w:sz w:val="32"/>
          <w:szCs w:val="32"/>
          <w:lang w:val="en-US" w:eastAsia="zh-CN" w:bidi="ar-SA"/>
        </w:rPr>
        <w:t>意见和建议753条，</w:t>
      </w:r>
      <w:r>
        <w:rPr>
          <w:rFonts w:hint="eastAsia" w:ascii="仿宋" w:hAnsi="仿宋" w:eastAsia="仿宋" w:cs="仿宋"/>
          <w:bCs/>
          <w:color w:val="000000"/>
          <w:kern w:val="2"/>
          <w:sz w:val="32"/>
          <w:szCs w:val="32"/>
          <w:lang w:val="en-US" w:eastAsia="zh-CN" w:bidi="ar-SA"/>
        </w:rPr>
        <w:t>修改规划文本</w:t>
      </w:r>
      <w:r>
        <w:rPr>
          <w:rFonts w:hint="default" w:ascii="仿宋" w:hAnsi="仿宋" w:eastAsia="仿宋" w:cs="仿宋"/>
          <w:bCs/>
          <w:color w:val="000000"/>
          <w:kern w:val="2"/>
          <w:sz w:val="32"/>
          <w:szCs w:val="32"/>
          <w:lang w:val="en-US" w:eastAsia="zh-CN" w:bidi="ar-SA"/>
        </w:rPr>
        <w:t>共计600余</w:t>
      </w:r>
      <w:r>
        <w:rPr>
          <w:rFonts w:hint="eastAsia" w:ascii="仿宋" w:hAnsi="仿宋" w:eastAsia="仿宋" w:cs="仿宋"/>
          <w:bCs/>
          <w:color w:val="000000"/>
          <w:kern w:val="2"/>
          <w:sz w:val="32"/>
          <w:szCs w:val="32"/>
          <w:lang w:val="en-US" w:eastAsia="zh-CN" w:bidi="ar-SA"/>
        </w:rPr>
        <w:t>科</w:t>
      </w:r>
      <w:r>
        <w:rPr>
          <w:rFonts w:hint="default" w:ascii="仿宋" w:hAnsi="仿宋" w:eastAsia="仿宋" w:cs="仿宋"/>
          <w:bCs/>
          <w:color w:val="000000"/>
          <w:kern w:val="2"/>
          <w:sz w:val="32"/>
          <w:szCs w:val="32"/>
          <w:lang w:val="en-US" w:eastAsia="zh-CN" w:bidi="ar-SA"/>
        </w:rPr>
        <w:t>，覆盖各方面意见和建议456条</w:t>
      </w:r>
      <w:r>
        <w:rPr>
          <w:rFonts w:hint="eastAsia" w:ascii="仿宋" w:hAnsi="仿宋" w:eastAsia="仿宋" w:cs="仿宋"/>
          <w:bCs/>
          <w:color w:val="000000"/>
          <w:kern w:val="2"/>
          <w:sz w:val="32"/>
          <w:szCs w:val="32"/>
          <w:lang w:val="en-US" w:eastAsia="zh-CN" w:bidi="ar-SA"/>
        </w:rPr>
        <w:t>，准确把握文旅融合背景下的新机遇、新挑战、新任务、新目标，高质量编制《南昌市“十四五”文化和旅游发展规划》，为全市文化旅游业高质量跨越式发展提供强有力支撑。目前规划已通过专家评审，正在做报送市政府常务会议审定的准备工作。</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 w:hAnsi="仿宋" w:eastAsia="仿宋" w:cs="仿宋"/>
          <w:bCs/>
          <w:color w:val="000000"/>
          <w:kern w:val="2"/>
          <w:sz w:val="32"/>
          <w:szCs w:val="32"/>
          <w:lang w:val="en-US" w:eastAsia="zh-CN" w:bidi="ar-SA"/>
        </w:rPr>
      </w:pPr>
      <w:r>
        <w:rPr>
          <w:rFonts w:hint="eastAsia" w:ascii="仿宋" w:hAnsi="仿宋" w:eastAsia="仿宋" w:cs="仿宋"/>
          <w:bCs/>
          <w:color w:val="000000"/>
          <w:kern w:val="2"/>
          <w:sz w:val="32"/>
          <w:szCs w:val="32"/>
          <w:lang w:val="en-US" w:eastAsia="zh-CN" w:bidi="ar-SA"/>
        </w:rPr>
        <w:t>公共文化服务水平提升。组织开展了“让书香飘满洪城”第二届全城共读活动、第十一届“读好书”活动等全民阅读活动303场次，服务市民读者逾121万人次；市图书馆开展“图书大篷车”进机关、进社区、进校园等活动120场次、进夜市活动63场次，推出“免押金办证”“扫码借书”等“我为群众办实事”实践活动，为市民借阅图书提供了更多实惠与便利。</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 w:hAnsi="仿宋" w:eastAsia="仿宋" w:cs="仿宋"/>
          <w:bCs/>
          <w:color w:val="000000"/>
          <w:kern w:val="2"/>
          <w:sz w:val="32"/>
          <w:szCs w:val="32"/>
          <w:lang w:val="en-US" w:eastAsia="zh-CN" w:bidi="ar-SA"/>
        </w:rPr>
      </w:pPr>
      <w:r>
        <w:rPr>
          <w:rFonts w:hint="eastAsia" w:ascii="仿宋" w:hAnsi="仿宋" w:eastAsia="仿宋" w:cs="仿宋"/>
          <w:bCs/>
          <w:color w:val="000000"/>
          <w:kern w:val="2"/>
          <w:sz w:val="32"/>
          <w:szCs w:val="32"/>
          <w:lang w:val="en-US" w:eastAsia="zh-CN" w:bidi="ar-SA"/>
        </w:rPr>
        <w:t>出台了《南昌市做大文旅产业经济总量三年行动实施方案（2021-2023年）》，配套制定了《促进全市文旅产业经济高质量发展的若干政策措施》。出台了《南昌市做大文旅产业经济总量三年行动实施方案（2021-2023年）》，配套制定了《促进全市文旅产业经济高质量发展的若干政策措施》，推出了若干促进产业发展的政策。二是推进文旅招商引资。聚焦国内知名头部文旅企业，制定《南昌市文旅产业未来三年拟引进头部企业清单》，全力推进招大引强，计划引进重点文旅头部企业19家，目前已签约湖南文和友商业管理有限公司、西安永兴坊文化产业集团、华住集团、天下凤凰集团、保利集团、江西长天集团。三是助力文旅企业发展。调动金融机构对全市文旅企业放贷积极性，积极做好“</w:t>
      </w:r>
      <w:r>
        <w:rPr>
          <w:rFonts w:hint="default" w:ascii="仿宋" w:hAnsi="仿宋" w:eastAsia="仿宋" w:cs="仿宋"/>
          <w:bCs/>
          <w:color w:val="000000"/>
          <w:kern w:val="2"/>
          <w:sz w:val="32"/>
          <w:szCs w:val="32"/>
          <w:lang w:val="en-US" w:eastAsia="zh-CN" w:bidi="ar-SA"/>
        </w:rPr>
        <w:t>文旅贷</w:t>
      </w:r>
      <w:r>
        <w:rPr>
          <w:rFonts w:hint="eastAsia" w:ascii="仿宋" w:hAnsi="仿宋" w:eastAsia="仿宋" w:cs="仿宋"/>
          <w:bCs/>
          <w:color w:val="000000"/>
          <w:kern w:val="2"/>
          <w:sz w:val="32"/>
          <w:szCs w:val="32"/>
          <w:lang w:val="en-US" w:eastAsia="zh-CN" w:bidi="ar-SA"/>
        </w:rPr>
        <w:t>”平台服务，并投入专项经费，设立贷款风险补偿金，扩大金融机构放贷额度。</w:t>
      </w:r>
      <w:r>
        <w:rPr>
          <w:rFonts w:hint="default" w:ascii="仿宋" w:hAnsi="仿宋" w:eastAsia="仿宋" w:cs="仿宋"/>
          <w:bCs/>
          <w:color w:val="000000"/>
          <w:kern w:val="2"/>
          <w:sz w:val="32"/>
          <w:szCs w:val="32"/>
          <w:lang w:val="en-US" w:eastAsia="zh-CN" w:bidi="ar-SA"/>
        </w:rPr>
        <w:t>1-9月，</w:t>
      </w:r>
      <w:r>
        <w:rPr>
          <w:rFonts w:hint="eastAsia" w:ascii="仿宋" w:hAnsi="仿宋" w:eastAsia="仿宋" w:cs="仿宋"/>
          <w:bCs/>
          <w:color w:val="000000"/>
          <w:kern w:val="2"/>
          <w:sz w:val="32"/>
          <w:szCs w:val="32"/>
          <w:lang w:val="en-US" w:eastAsia="zh-CN" w:bidi="ar-SA"/>
        </w:rPr>
        <w:t>“</w:t>
      </w:r>
      <w:r>
        <w:rPr>
          <w:rFonts w:hint="default" w:ascii="仿宋" w:hAnsi="仿宋" w:eastAsia="仿宋" w:cs="仿宋"/>
          <w:bCs/>
          <w:color w:val="000000"/>
          <w:kern w:val="2"/>
          <w:sz w:val="32"/>
          <w:szCs w:val="32"/>
          <w:lang w:val="en-US" w:eastAsia="zh-CN" w:bidi="ar-SA"/>
        </w:rPr>
        <w:t>文旅贷</w:t>
      </w:r>
      <w:r>
        <w:rPr>
          <w:rFonts w:hint="eastAsia" w:ascii="仿宋" w:hAnsi="仿宋" w:eastAsia="仿宋" w:cs="仿宋"/>
          <w:bCs/>
          <w:color w:val="000000"/>
          <w:kern w:val="2"/>
          <w:sz w:val="32"/>
          <w:szCs w:val="32"/>
          <w:lang w:val="en-US" w:eastAsia="zh-CN" w:bidi="ar-SA"/>
        </w:rPr>
        <w:t>”</w:t>
      </w:r>
      <w:r>
        <w:rPr>
          <w:rFonts w:hint="default" w:ascii="仿宋" w:hAnsi="仿宋" w:eastAsia="仿宋" w:cs="仿宋"/>
          <w:bCs/>
          <w:color w:val="000000"/>
          <w:kern w:val="2"/>
          <w:sz w:val="32"/>
          <w:szCs w:val="32"/>
          <w:lang w:val="en-US" w:eastAsia="zh-CN" w:bidi="ar-SA"/>
        </w:rPr>
        <w:t>企业入库共计</w:t>
      </w:r>
      <w:r>
        <w:rPr>
          <w:rFonts w:hint="eastAsia" w:ascii="仿宋" w:hAnsi="仿宋" w:eastAsia="仿宋" w:cs="仿宋"/>
          <w:bCs/>
          <w:color w:val="000000"/>
          <w:kern w:val="2"/>
          <w:sz w:val="32"/>
          <w:szCs w:val="32"/>
          <w:lang w:val="en-US" w:eastAsia="zh-CN" w:bidi="ar-SA"/>
        </w:rPr>
        <w:t>7</w:t>
      </w:r>
      <w:r>
        <w:rPr>
          <w:rFonts w:hint="default" w:ascii="仿宋" w:hAnsi="仿宋" w:eastAsia="仿宋" w:cs="仿宋"/>
          <w:bCs/>
          <w:color w:val="000000"/>
          <w:kern w:val="2"/>
          <w:sz w:val="32"/>
          <w:szCs w:val="32"/>
          <w:lang w:val="en-US" w:eastAsia="zh-CN" w:bidi="ar-SA"/>
        </w:rPr>
        <w:t>家，</w:t>
      </w:r>
      <w:r>
        <w:rPr>
          <w:rFonts w:hint="eastAsia" w:ascii="仿宋" w:hAnsi="仿宋" w:eastAsia="仿宋" w:cs="仿宋"/>
          <w:bCs/>
          <w:color w:val="000000"/>
          <w:kern w:val="2"/>
          <w:sz w:val="32"/>
          <w:szCs w:val="32"/>
          <w:lang w:val="en-US" w:eastAsia="zh-CN" w:bidi="ar-SA"/>
        </w:rPr>
        <w:t>江西文博疗养服务中心有限公司、江西凤凰山庄生态农业发展有限公司等2家企业获得银行放贷</w:t>
      </w:r>
      <w:r>
        <w:rPr>
          <w:rFonts w:hint="default" w:ascii="仿宋" w:hAnsi="仿宋" w:eastAsia="仿宋" w:cs="仿宋"/>
          <w:bCs/>
          <w:color w:val="000000"/>
          <w:kern w:val="2"/>
          <w:sz w:val="32"/>
          <w:szCs w:val="32"/>
          <w:lang w:val="en-US" w:eastAsia="zh-CN" w:bidi="ar-SA"/>
        </w:rPr>
        <w:t>，</w:t>
      </w:r>
      <w:r>
        <w:rPr>
          <w:rFonts w:hint="eastAsia" w:ascii="仿宋" w:hAnsi="仿宋" w:eastAsia="仿宋" w:cs="仿宋"/>
          <w:bCs/>
          <w:color w:val="000000"/>
          <w:kern w:val="2"/>
          <w:sz w:val="32"/>
          <w:szCs w:val="32"/>
          <w:lang w:val="en-US" w:eastAsia="zh-CN" w:bidi="ar-SA"/>
        </w:rPr>
        <w:t>放款额度800万元。</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 w:hAnsi="仿宋" w:eastAsia="仿宋" w:cs="仿宋"/>
          <w:bCs/>
          <w:color w:val="000000"/>
          <w:kern w:val="2"/>
          <w:sz w:val="32"/>
          <w:szCs w:val="32"/>
          <w:lang w:val="en-US" w:eastAsia="zh-CN" w:bidi="ar-SA"/>
        </w:rPr>
      </w:pPr>
      <w:r>
        <w:rPr>
          <w:rFonts w:hint="eastAsia" w:ascii="仿宋" w:hAnsi="仿宋" w:eastAsia="仿宋" w:cs="仿宋"/>
          <w:bCs/>
          <w:color w:val="000000"/>
          <w:kern w:val="2"/>
          <w:sz w:val="32"/>
          <w:szCs w:val="32"/>
          <w:lang w:val="en-US" w:eastAsia="zh-CN" w:bidi="ar-SA"/>
        </w:rPr>
        <w:t>通过参赛、培训等活动，培养了一批高素质、高水平讲解队伍。为加强红色旅游队伍建设，组织并参与省市红色故事讲解员选拔赛，我市7名选手进入全省红色讲解员大赛前十名，一位讲解员成功入围全国红色故事讲解员大赛，通过参赛、培训等活动，培养了一批高素质、高水平讲解队伍，为讲好南昌故事提供了保障。</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 w:hAnsi="仿宋" w:eastAsia="仿宋" w:cs="仿宋"/>
          <w:bCs/>
          <w:color w:val="000000"/>
          <w:kern w:val="2"/>
          <w:sz w:val="32"/>
          <w:szCs w:val="32"/>
          <w:lang w:val="en-US" w:eastAsia="zh-CN" w:bidi="ar-SA"/>
        </w:rPr>
      </w:pPr>
      <w:r>
        <w:rPr>
          <w:rFonts w:hint="default" w:ascii="仿宋" w:hAnsi="仿宋" w:eastAsia="仿宋" w:cs="仿宋"/>
          <w:bCs/>
          <w:color w:val="000000"/>
          <w:kern w:val="2"/>
          <w:sz w:val="32"/>
          <w:szCs w:val="32"/>
          <w:lang w:val="en-US" w:eastAsia="zh-CN" w:bidi="ar-SA"/>
        </w:rPr>
        <w:t>南昌智慧文旅指挥调度监测系统建设</w:t>
      </w:r>
      <w:r>
        <w:rPr>
          <w:rFonts w:hint="eastAsia" w:ascii="仿宋" w:hAnsi="仿宋" w:eastAsia="仿宋" w:cs="仿宋"/>
          <w:bCs/>
          <w:color w:val="000000"/>
          <w:kern w:val="2"/>
          <w:sz w:val="32"/>
          <w:szCs w:val="32"/>
          <w:lang w:val="en-US" w:eastAsia="zh-CN" w:bidi="ar-SA"/>
        </w:rPr>
        <w:t>。一是</w:t>
      </w:r>
      <w:r>
        <w:rPr>
          <w:rFonts w:hint="default" w:ascii="仿宋" w:hAnsi="仿宋" w:eastAsia="仿宋" w:cs="仿宋"/>
          <w:bCs/>
          <w:color w:val="000000"/>
          <w:kern w:val="2"/>
          <w:sz w:val="32"/>
          <w:szCs w:val="32"/>
          <w:lang w:val="en-US" w:eastAsia="zh-CN" w:bidi="ar-SA"/>
        </w:rPr>
        <w:t>完成南昌智慧文旅指挥调度监测系统建设。通过大数据技术，实时采集全域旅游人流数据、景区数据（包括客流量、视频监控数据、停车场数据）、旅游大巴轨迹、全网涉昌旅游舆情数据，实现低价游监管、景区人流预警、交通预警、旅游舆情管理、气象预警、投诉管理等功能。</w:t>
      </w:r>
      <w:r>
        <w:rPr>
          <w:rFonts w:hint="eastAsia" w:ascii="仿宋" w:hAnsi="仿宋" w:eastAsia="仿宋" w:cs="仿宋"/>
          <w:bCs/>
          <w:color w:val="000000"/>
          <w:kern w:val="2"/>
          <w:sz w:val="32"/>
          <w:szCs w:val="32"/>
          <w:lang w:val="en-US" w:eastAsia="zh-CN" w:bidi="ar-SA"/>
        </w:rPr>
        <w:t>二是</w:t>
      </w:r>
      <w:r>
        <w:rPr>
          <w:rFonts w:hint="default" w:ascii="仿宋" w:hAnsi="仿宋" w:eastAsia="仿宋" w:cs="仿宋"/>
          <w:bCs/>
          <w:color w:val="000000"/>
          <w:kern w:val="2"/>
          <w:sz w:val="32"/>
          <w:szCs w:val="32"/>
          <w:lang w:val="en-US" w:eastAsia="zh-CN" w:bidi="ar-SA"/>
        </w:rPr>
        <w:t>推进南昌城市大脑畅游南昌应用场景建设。成立</w:t>
      </w:r>
      <w:r>
        <w:rPr>
          <w:rFonts w:hint="eastAsia" w:ascii="仿宋" w:hAnsi="仿宋" w:eastAsia="仿宋" w:cs="仿宋"/>
          <w:bCs/>
          <w:color w:val="000000"/>
          <w:kern w:val="2"/>
          <w:sz w:val="32"/>
          <w:szCs w:val="32"/>
          <w:lang w:val="en-US" w:eastAsia="zh-CN" w:bidi="ar-SA"/>
        </w:rPr>
        <w:t>了</w:t>
      </w:r>
      <w:r>
        <w:rPr>
          <w:rFonts w:hint="default" w:ascii="仿宋" w:hAnsi="仿宋" w:eastAsia="仿宋" w:cs="仿宋"/>
          <w:bCs/>
          <w:color w:val="000000"/>
          <w:kern w:val="2"/>
          <w:sz w:val="32"/>
          <w:szCs w:val="32"/>
          <w:lang w:val="en-US" w:eastAsia="zh-CN" w:bidi="ar-SA"/>
        </w:rPr>
        <w:t>畅游南昌应用场景建设专班，形成</w:t>
      </w:r>
      <w:r>
        <w:rPr>
          <w:rFonts w:hint="eastAsia" w:ascii="仿宋" w:hAnsi="仿宋" w:eastAsia="仿宋" w:cs="仿宋"/>
          <w:bCs/>
          <w:color w:val="000000"/>
          <w:kern w:val="2"/>
          <w:sz w:val="32"/>
          <w:szCs w:val="32"/>
          <w:lang w:val="en-US" w:eastAsia="zh-CN" w:bidi="ar-SA"/>
        </w:rPr>
        <w:t>了</w:t>
      </w:r>
      <w:r>
        <w:rPr>
          <w:rFonts w:hint="default" w:ascii="仿宋" w:hAnsi="仿宋" w:eastAsia="仿宋" w:cs="仿宋"/>
          <w:bCs/>
          <w:color w:val="000000"/>
          <w:kern w:val="2"/>
          <w:sz w:val="32"/>
          <w:szCs w:val="32"/>
          <w:lang w:val="en-US" w:eastAsia="zh-CN" w:bidi="ar-SA"/>
        </w:rPr>
        <w:t>畅游南昌应用场景初步建设方案，待市大数据局统一进行政府采购后，继续推进</w:t>
      </w:r>
      <w:r>
        <w:rPr>
          <w:rFonts w:hint="eastAsia" w:ascii="仿宋" w:hAnsi="仿宋" w:eastAsia="仿宋" w:cs="仿宋"/>
          <w:bCs/>
          <w:color w:val="000000"/>
          <w:kern w:val="2"/>
          <w:sz w:val="32"/>
          <w:szCs w:val="32"/>
          <w:lang w:val="en-US" w:eastAsia="zh-CN" w:bidi="ar-SA"/>
        </w:rPr>
        <w:t>场景项目建设</w:t>
      </w:r>
      <w:r>
        <w:rPr>
          <w:rFonts w:hint="default" w:ascii="仿宋" w:hAnsi="仿宋" w:eastAsia="仿宋" w:cs="仿宋"/>
          <w:bCs/>
          <w:color w:val="000000"/>
          <w:kern w:val="2"/>
          <w:sz w:val="32"/>
          <w:szCs w:val="32"/>
          <w:lang w:val="en-US" w:eastAsia="zh-CN" w:bidi="ar-SA"/>
        </w:rPr>
        <w:t>。</w:t>
      </w:r>
      <w:r>
        <w:rPr>
          <w:rFonts w:hint="eastAsia" w:ascii="仿宋" w:hAnsi="仿宋" w:eastAsia="仿宋" w:cs="仿宋"/>
          <w:bCs/>
          <w:color w:val="000000"/>
          <w:kern w:val="2"/>
          <w:sz w:val="32"/>
          <w:szCs w:val="32"/>
          <w:lang w:val="en-US" w:eastAsia="zh-CN" w:bidi="ar-SA"/>
        </w:rPr>
        <w:t>三是入选南昌市第二批VR技术试点示范应用项目。我局上报的南昌市博物馆VR体验中心示范项目、八大山人文化旅游智慧化项目入选南昌市第二批VR技术试点示范应用项目。四是开展了2021年南昌旅游欢迎短信项目建设。为继续做好向外地游客推送南昌旅游欢迎短信，推介南昌文旅资源，开展了2021年南昌旅游欢迎短信政府采购。</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 w:hAnsi="仿宋" w:eastAsia="仿宋" w:cs="仿宋"/>
          <w:bCs/>
          <w:color w:val="000000"/>
          <w:kern w:val="2"/>
          <w:sz w:val="32"/>
          <w:szCs w:val="32"/>
          <w:lang w:val="en-US" w:eastAsia="zh-CN" w:bidi="ar-SA"/>
        </w:rPr>
      </w:pPr>
      <w:r>
        <w:rPr>
          <w:rFonts w:hint="eastAsia" w:ascii="仿宋" w:hAnsi="仿宋" w:eastAsia="仿宋" w:cs="仿宋"/>
          <w:bCs/>
          <w:color w:val="000000"/>
          <w:kern w:val="2"/>
          <w:sz w:val="32"/>
          <w:szCs w:val="32"/>
          <w:lang w:val="en-US" w:eastAsia="zh-CN" w:bidi="ar-SA"/>
        </w:rPr>
        <w:t>城市品牌影响力持续提升。一是启动城市宣传片拍摄。结合我市文旅发展的新形势，以及不断涌现的城市新元素、新地标，重新策划拍摄城市宣传片，并通过自媒体开展宣传，以更新的画面，更全面、更应景地展现南昌新时代魅力和形象。二是形成全媒体宣传矩阵。</w:t>
      </w:r>
      <w:r>
        <w:rPr>
          <w:rFonts w:hint="default" w:ascii="仿宋" w:hAnsi="仿宋" w:eastAsia="仿宋" w:cs="仿宋"/>
          <w:bCs/>
          <w:color w:val="000000"/>
          <w:kern w:val="2"/>
          <w:sz w:val="32"/>
          <w:szCs w:val="32"/>
          <w:lang w:val="en-US" w:eastAsia="zh-CN" w:bidi="ar-SA"/>
        </w:rPr>
        <w:t>在南昌电视台、南昌日报等主要媒体设立“千年豫章郡 天下英雄城”文旅专版（专栏）</w:t>
      </w:r>
      <w:r>
        <w:rPr>
          <w:rFonts w:hint="eastAsia" w:ascii="仿宋" w:hAnsi="仿宋" w:eastAsia="仿宋" w:cs="仿宋"/>
          <w:bCs/>
          <w:color w:val="000000"/>
          <w:kern w:val="2"/>
          <w:sz w:val="32"/>
          <w:szCs w:val="32"/>
          <w:lang w:val="en-US" w:eastAsia="zh-CN" w:bidi="ar-SA"/>
        </w:rPr>
        <w:t>，抢占微信公众号、抖音快手等头部新媒体平台，以创意短视频的形式，打造南昌文旅“新热点”“新看点”，</w:t>
      </w:r>
      <w:r>
        <w:rPr>
          <w:rFonts w:hint="default" w:ascii="仿宋" w:hAnsi="仿宋" w:eastAsia="仿宋" w:cs="仿宋"/>
          <w:bCs/>
          <w:color w:val="000000"/>
          <w:kern w:val="2"/>
          <w:sz w:val="32"/>
          <w:szCs w:val="32"/>
          <w:lang w:val="en-US" w:eastAsia="zh-CN" w:bidi="ar-SA"/>
        </w:rPr>
        <w:t>1-10月，共发布各类推文近2000篇，阅读量</w:t>
      </w:r>
      <w:r>
        <w:rPr>
          <w:rFonts w:hint="eastAsia" w:ascii="仿宋" w:hAnsi="仿宋" w:eastAsia="仿宋" w:cs="仿宋"/>
          <w:bCs/>
          <w:color w:val="000000"/>
          <w:kern w:val="2"/>
          <w:sz w:val="32"/>
          <w:szCs w:val="32"/>
          <w:lang w:val="en-US" w:eastAsia="zh-CN" w:bidi="ar-SA"/>
        </w:rPr>
        <w:t>突破1亿人次。三是加强旅游促销合作。赴广东省开展“千年豫章郡 天下英雄城”专题文化旅游活动，推介南昌特色文旅产品和优惠政策，吸引更多的旅游者走进南昌；与莆田市文旅局签订战略旅游合作协议，积极对接广州、银川、浙东南五市、抚州等文旅部门来昌宣传推介，搭建沟通交流渠道。</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 w:hAnsi="仿宋" w:eastAsia="仿宋" w:cs="Times New Roman"/>
          <w:kern w:val="2"/>
          <w:sz w:val="32"/>
          <w:szCs w:val="32"/>
          <w:lang w:val="en-US" w:eastAsia="zh-CN" w:bidi="ar-SA"/>
        </w:rPr>
      </w:pPr>
      <w:r>
        <w:rPr>
          <w:rFonts w:hint="eastAsia" w:ascii="仿宋" w:hAnsi="仿宋" w:eastAsia="仿宋" w:cs="仿宋"/>
          <w:bCs/>
          <w:color w:val="000000"/>
          <w:kern w:val="2"/>
          <w:sz w:val="32"/>
          <w:szCs w:val="32"/>
          <w:lang w:val="en-US" w:eastAsia="zh-CN" w:bidi="ar-SA"/>
        </w:rPr>
        <w:t>推动出台《南昌市关于文物保护利用改革的实施方案》。推动出台《南昌市关于文物保护利用改革的实施方案》，编制了全市石窟寺名录；开展不可移动文物资源调查，基本摸清了不可移动文物资源的保存现状；重点推动开展了八一起义总指挥部周边的环境整治，督导管理使用单位整改汪山土库的消防设施，消除了安全隐患；在万寿宫历史文化街区、绳金塔历史文化街区等重大项目建设中，指导做好文物保护工作，全力确保文物安全。经评价，本次评分为14分</w:t>
      </w:r>
      <w:r>
        <w:rPr>
          <w:rFonts w:hint="eastAsia" w:ascii="仿宋" w:hAnsi="仿宋" w:eastAsia="仿宋" w:cs="Times New Roman"/>
          <w:kern w:val="2"/>
          <w:sz w:val="32"/>
          <w:szCs w:val="32"/>
          <w:lang w:val="en-US" w:eastAsia="zh-CN" w:bidi="ar-SA"/>
        </w:rPr>
        <w:t>。</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firstLine="562" w:firstLineChars="200"/>
        <w:textAlignment w:val="auto"/>
        <w:rPr>
          <w:rFonts w:hint="eastAsia" w:ascii="黑体" w:hAnsi="Times New Roman" w:eastAsia="黑体" w:cs="Times New Roman"/>
          <w:kern w:val="2"/>
          <w:sz w:val="32"/>
          <w:szCs w:val="32"/>
          <w:lang w:val="en-US" w:eastAsia="zh-CN" w:bidi="ar-SA"/>
        </w:rPr>
      </w:pPr>
      <w:r>
        <w:rPr>
          <w:rFonts w:hint="eastAsia" w:ascii="楷体_GB2312" w:hAnsi="Calibri" w:eastAsia="楷体_GB2312" w:cs="Times New Roman"/>
          <w:b/>
          <w:color w:val="000000"/>
          <w:kern w:val="2"/>
          <w:sz w:val="28"/>
          <w:szCs w:val="28"/>
          <w:lang w:val="en-US" w:eastAsia="zh-CN" w:bidi="ar-SA"/>
        </w:rPr>
        <w:t>（五）满意度指标情况分析</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 w:hAnsi="仿宋" w:eastAsia="仿宋" w:cs="仿宋"/>
          <w:bCs/>
          <w:color w:val="000000"/>
          <w:kern w:val="2"/>
          <w:sz w:val="32"/>
          <w:szCs w:val="32"/>
          <w:lang w:val="en-US" w:eastAsia="zh-CN" w:bidi="ar-SA"/>
        </w:rPr>
      </w:pPr>
      <w:r>
        <w:rPr>
          <w:rFonts w:hint="eastAsia" w:ascii="仿宋" w:hAnsi="仿宋" w:eastAsia="仿宋" w:cs="仿宋"/>
          <w:bCs/>
          <w:color w:val="000000"/>
          <w:kern w:val="2"/>
          <w:sz w:val="32"/>
          <w:szCs w:val="32"/>
          <w:lang w:val="en-US" w:eastAsia="zh-CN" w:bidi="ar-SA"/>
        </w:rPr>
        <w:t>观众满意度、游客满意度、群众满意度均达到98%。达到到目标值。分值10分，得分10分。</w:t>
      </w:r>
    </w:p>
    <w:p>
      <w:pPr>
        <w:keepNext w:val="0"/>
        <w:keepLines w:val="0"/>
        <w:pageBreakBefore w:val="0"/>
        <w:widowControl w:val="0"/>
        <w:kinsoku/>
        <w:wordWrap/>
        <w:overflowPunct/>
        <w:topLinePunct w:val="0"/>
        <w:autoSpaceDE/>
        <w:autoSpaceDN/>
        <w:bidi w:val="0"/>
        <w:adjustRightInd/>
        <w:snapToGrid/>
        <w:spacing w:line="500" w:lineRule="exact"/>
        <w:ind w:leftChars="0" w:firstLine="560" w:firstLineChars="200"/>
        <w:textAlignment w:val="auto"/>
        <w:rPr>
          <w:rFonts w:hint="eastAsia" w:ascii="黑体" w:hAnsi="黑体" w:eastAsia="黑体"/>
          <w:sz w:val="32"/>
          <w:szCs w:val="32"/>
        </w:rPr>
      </w:pPr>
      <w:r>
        <w:rPr>
          <w:rFonts w:hint="eastAsia" w:ascii="黑体" w:hAnsi="黑体" w:eastAsia="黑体" w:cs="Times New Roman"/>
          <w:sz w:val="28"/>
          <w:szCs w:val="28"/>
        </w:rPr>
        <w:t>五、主要经验及做法、存在的问题及原因分析</w:t>
      </w:r>
    </w:p>
    <w:p>
      <w:pPr>
        <w:keepNext w:val="0"/>
        <w:keepLines w:val="0"/>
        <w:pageBreakBefore w:val="0"/>
        <w:widowControl w:val="0"/>
        <w:kinsoku/>
        <w:wordWrap/>
        <w:overflowPunct/>
        <w:topLinePunct w:val="0"/>
        <w:autoSpaceDE/>
        <w:autoSpaceDN/>
        <w:bidi w:val="0"/>
        <w:adjustRightInd/>
        <w:snapToGrid/>
        <w:spacing w:line="500" w:lineRule="exact"/>
        <w:ind w:leftChars="0" w:firstLine="562" w:firstLineChars="200"/>
        <w:textAlignment w:val="auto"/>
        <w:rPr>
          <w:rFonts w:hint="eastAsia" w:ascii="黑体" w:hAnsi="黑体" w:eastAsia="黑体"/>
          <w:sz w:val="32"/>
          <w:szCs w:val="32"/>
        </w:rPr>
      </w:pPr>
      <w:r>
        <w:rPr>
          <w:rFonts w:hint="eastAsia" w:ascii="楷体_GB2312" w:hAnsi="Calibri" w:eastAsia="楷体_GB2312" w:cs="Times New Roman"/>
          <w:b/>
          <w:color w:val="000000"/>
          <w:sz w:val="28"/>
          <w:szCs w:val="28"/>
        </w:rPr>
        <w:t>1、主要经验及做法</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2021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南昌市文化广电新闻出版旅游局</w:t>
      </w:r>
      <w:r>
        <w:rPr>
          <w:rFonts w:hint="eastAsia" w:ascii="仿宋_GB2312" w:hAnsi="仿宋_GB2312" w:eastAsia="仿宋_GB2312" w:cs="仿宋_GB2312"/>
          <w:color w:val="auto"/>
          <w:sz w:val="32"/>
          <w:szCs w:val="32"/>
        </w:rPr>
        <w:t>在推进部门预算绩效管理工作上取得了较大成效，主要体现在：</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outlineLvl w:val="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一是领导重视。南昌市文化广电新闻出版旅游局领导高度重视项目资金的使用,严格资金的审批,提高资金的使用效益。</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outlineLvl w:val="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二是管理规范。项目实施科室都能按照项目资金管理办法来严格执行，强化监督检查，有效规范和加强项目资金的管理。</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outlineLvl w:val="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三是有效提升各部门的绩效意识。全面开展了对财政预算绩效管理的学习活动，利用各媒体形式，宣传预算绩效管理工作，召开专题会议，认真学习领会上级精神，组织各部门培训学习预算绩效管理业务，牢固树立“讲绩效、重绩效、用绩效”的绩效管理理念，进一步增强了各部门的支出责任和效率意识，为绩效管理工作在南昌市文化广电新闻出版旅游局全面有效的开展奠定了较为扎实的基础。</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Chars="0" w:firstLine="562" w:firstLineChars="200"/>
        <w:textAlignment w:val="auto"/>
        <w:outlineLvl w:val="0"/>
        <w:rPr>
          <w:rFonts w:hint="eastAsia" w:ascii="楷体_GB2312" w:hAnsi="Calibri" w:eastAsia="楷体_GB2312" w:cs="Times New Roman"/>
          <w:b/>
          <w:color w:val="000000"/>
          <w:sz w:val="28"/>
          <w:szCs w:val="28"/>
        </w:rPr>
      </w:pPr>
      <w:r>
        <w:rPr>
          <w:rFonts w:hint="eastAsia" w:ascii="楷体_GB2312" w:hAnsi="Calibri" w:eastAsia="楷体_GB2312" w:cs="Times New Roman"/>
          <w:b/>
          <w:color w:val="000000"/>
          <w:sz w:val="28"/>
          <w:szCs w:val="28"/>
        </w:rPr>
        <w:t>存在的问题</w:t>
      </w:r>
      <w:r>
        <w:rPr>
          <w:rFonts w:hint="eastAsia" w:ascii="楷体_GB2312" w:hAnsi="Calibri" w:eastAsia="楷体_GB2312" w:cs="Times New Roman"/>
          <w:b/>
          <w:color w:val="000000"/>
          <w:sz w:val="28"/>
          <w:szCs w:val="28"/>
          <w:lang w:val="en-US" w:eastAsia="zh-CN"/>
        </w:rPr>
        <w:t>及原因分析</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outlineLvl w:val="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该项目本年度总体</w:t>
      </w:r>
      <w:r>
        <w:rPr>
          <w:rFonts w:hint="default" w:ascii="仿宋" w:hAnsi="仿宋" w:eastAsia="仿宋" w:cs="Times New Roman"/>
          <w:kern w:val="2"/>
          <w:sz w:val="32"/>
          <w:szCs w:val="32"/>
          <w:lang w:val="en-US" w:eastAsia="zh-CN" w:bidi="ar-SA"/>
        </w:rPr>
        <w:t>预算执行率为</w:t>
      </w:r>
      <w:r>
        <w:rPr>
          <w:rFonts w:hint="eastAsia" w:ascii="仿宋" w:hAnsi="仿宋" w:eastAsia="仿宋" w:cs="Times New Roman"/>
          <w:kern w:val="2"/>
          <w:sz w:val="32"/>
          <w:szCs w:val="32"/>
          <w:lang w:val="en-US" w:eastAsia="zh-CN" w:bidi="ar-SA"/>
        </w:rPr>
        <w:t>54.98</w:t>
      </w:r>
      <w:r>
        <w:rPr>
          <w:rFonts w:hint="default" w:ascii="仿宋" w:hAnsi="仿宋" w:eastAsia="仿宋" w:cs="Times New Roman"/>
          <w:kern w:val="2"/>
          <w:sz w:val="32"/>
          <w:szCs w:val="32"/>
          <w:lang w:val="en-US" w:eastAsia="zh-CN" w:bidi="ar-SA"/>
        </w:rPr>
        <w:t>%</w:t>
      </w:r>
      <w:r>
        <w:rPr>
          <w:rFonts w:hint="eastAsia" w:ascii="仿宋" w:hAnsi="仿宋" w:eastAsia="仿宋" w:cs="Times New Roman"/>
          <w:kern w:val="2"/>
          <w:sz w:val="32"/>
          <w:szCs w:val="32"/>
          <w:lang w:val="en-US" w:eastAsia="zh-CN" w:bidi="ar-SA"/>
        </w:rPr>
        <w:t>，项目资金支付进度缓慢</w:t>
      </w:r>
      <w:r>
        <w:rPr>
          <w:rFonts w:hint="default" w:ascii="仿宋" w:hAnsi="仿宋" w:eastAsia="仿宋" w:cs="Times New Roman"/>
          <w:kern w:val="2"/>
          <w:sz w:val="32"/>
          <w:szCs w:val="32"/>
          <w:lang w:val="en-US" w:eastAsia="zh-CN" w:bidi="ar-SA"/>
        </w:rPr>
        <w:t>。</w:t>
      </w:r>
      <w:r>
        <w:rPr>
          <w:rFonts w:hint="eastAsia" w:ascii="仿宋" w:hAnsi="仿宋" w:eastAsia="仿宋" w:cs="Times New Roman"/>
          <w:kern w:val="2"/>
          <w:sz w:val="32"/>
          <w:szCs w:val="32"/>
          <w:lang w:val="en-US" w:eastAsia="zh-CN" w:bidi="ar-SA"/>
        </w:rPr>
        <w:t>原因主要是因为畅游南昌应用场景建设、报纸宣传、广播电视宣传、设计制作宣传资料、采茶戏剧本创作项目停止；“文明旅游 为中国加分”主题活动工作由县区进行拨付；南昌旅游优选诚信平台签订合同后，未按合同支付预付款，所以还暂时未开始执行；局官方公众号、微博等运营推进进度较晚至今尚未支付；省、市旅发大会宣传和广告投放、旅游交易会、展览会、博览会等参展费用工作因为疫情影响推迟开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60" w:firstLineChars="200"/>
        <w:textAlignment w:val="auto"/>
        <w:rPr>
          <w:rFonts w:hint="eastAsia" w:ascii="黑体" w:hAnsi="黑体" w:eastAsia="黑体" w:cs="Times New Roman"/>
          <w:sz w:val="28"/>
          <w:szCs w:val="28"/>
        </w:rPr>
      </w:pPr>
      <w:r>
        <w:rPr>
          <w:rFonts w:hint="eastAsia" w:ascii="黑体" w:hAnsi="黑体" w:eastAsia="黑体" w:cs="Times New Roman"/>
          <w:sz w:val="28"/>
          <w:szCs w:val="28"/>
          <w:lang w:eastAsia="zh-CN"/>
        </w:rPr>
        <w:t>六、</w:t>
      </w:r>
      <w:r>
        <w:rPr>
          <w:rFonts w:hint="eastAsia" w:ascii="黑体" w:hAnsi="黑体" w:eastAsia="黑体" w:cs="Times New Roman"/>
          <w:sz w:val="28"/>
          <w:szCs w:val="28"/>
        </w:rPr>
        <w:t>有关建议</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outlineLvl w:val="0"/>
        <w:rPr>
          <w:rFonts w:hint="default"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1、加强业务工作推进及资金执行。</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outlineLvl w:val="0"/>
        <w:rPr>
          <w:rFonts w:hint="eastAsia" w:ascii="仿宋" w:hAnsi="仿宋" w:eastAsia="仿宋" w:cs="Times New Roman"/>
          <w:kern w:val="2"/>
          <w:sz w:val="32"/>
          <w:szCs w:val="32"/>
          <w:lang w:val="en-US" w:eastAsia="zh-CN" w:bidi="ar-SA"/>
        </w:rPr>
      </w:pPr>
      <w:r>
        <w:rPr>
          <w:rFonts w:hint="eastAsia" w:ascii="仿宋" w:hAnsi="仿宋" w:eastAsia="仿宋" w:cs="仿宋"/>
          <w:b w:val="0"/>
          <w:bCs w:val="0"/>
          <w:color w:val="000000"/>
          <w:sz w:val="32"/>
          <w:szCs w:val="32"/>
          <w:lang w:val="en-US" w:eastAsia="zh-CN"/>
        </w:rPr>
        <w:t>加强与财政部门的沟通和对接协调，抓好申请资金工作，有效弥补支出缺口，确保资金使用规范、安全和高效</w:t>
      </w:r>
      <w:r>
        <w:rPr>
          <w:rFonts w:hint="eastAsia" w:ascii="仿宋" w:hAnsi="仿宋" w:eastAsia="仿宋"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outlineLvl w:val="0"/>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2</w:t>
      </w:r>
      <w:r>
        <w:rPr>
          <w:rFonts w:hint="default" w:ascii="仿宋" w:hAnsi="仿宋" w:eastAsia="仿宋" w:cs="仿宋"/>
          <w:b w:val="0"/>
          <w:bCs w:val="0"/>
          <w:color w:val="000000"/>
          <w:sz w:val="32"/>
          <w:szCs w:val="32"/>
          <w:lang w:val="en-US" w:eastAsia="zh-CN"/>
        </w:rPr>
        <w:t>、</w:t>
      </w:r>
      <w:r>
        <w:rPr>
          <w:rFonts w:hint="eastAsia" w:ascii="仿宋" w:hAnsi="仿宋" w:eastAsia="仿宋" w:cs="仿宋"/>
          <w:b w:val="0"/>
          <w:bCs w:val="0"/>
          <w:color w:val="000000"/>
          <w:sz w:val="32"/>
          <w:szCs w:val="32"/>
          <w:lang w:val="en-US" w:eastAsia="zh-CN"/>
        </w:rPr>
        <w:t>深化《南昌市“十四五”文化和旅游发展规划》。</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outlineLvl w:val="0"/>
        <w:rPr>
          <w:rFonts w:hint="default"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以《南昌市“十四五”文化和旅游发展规划》为统领，推行《南昌市文物保护利用改革的实施方案》，深化《南昌市国有文艺院团改革实施意见》，制定出台《南昌市文化旅游发展专项资金管理办法》《南昌市城市旅游三年行动计划》《南昌市关于进一步加快城市旅游发展的实施意见》《南昌市非国有博物馆扶持办法》《“南昌礼物”暨公务活动小礼品发展扶持办法》等政策性文件，探索设立南昌文旅产业发展基金，集成“政策工具包”，按照“一核一轴三极”的空间发展布局，形成重点突出、特色鲜明、优势互补、协同提升的文旅发展新局面。到2025年，我市文化事业、文化产业在全省实现引领效应，文化及相关产业营业收入超过700亿，文化及相关产业增加值占GDP比重高于全国平均水平。实现旅游接待2.6亿人次，旅游综合收入2600亿元”。将文化旅游产业建设成为我市战略性支柱产业，努力将南昌建设成为历史传承高地、文化服务高地、文旅融合高地。</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outlineLvl w:val="0"/>
        <w:rPr>
          <w:rFonts w:hint="eastAsia" w:ascii="仿宋" w:hAnsi="仿宋" w:eastAsia="仿宋" w:cs="仿宋"/>
          <w:b w:val="0"/>
          <w:bCs w:val="0"/>
          <w:color w:val="000000"/>
          <w:sz w:val="32"/>
          <w:szCs w:val="32"/>
          <w:lang w:val="zh-TW" w:eastAsia="zh-CN"/>
        </w:rPr>
      </w:pPr>
      <w:r>
        <w:rPr>
          <w:rFonts w:hint="eastAsia" w:ascii="仿宋" w:hAnsi="仿宋" w:eastAsia="仿宋" w:cs="仿宋"/>
          <w:b w:val="0"/>
          <w:bCs w:val="0"/>
          <w:color w:val="000000"/>
          <w:sz w:val="32"/>
          <w:szCs w:val="32"/>
          <w:lang w:val="en-US" w:eastAsia="zh-CN"/>
        </w:rPr>
        <w:t>3</w:t>
      </w:r>
      <w:r>
        <w:rPr>
          <w:rFonts w:hint="default" w:ascii="仿宋" w:hAnsi="仿宋" w:eastAsia="仿宋" w:cs="仿宋"/>
          <w:b w:val="0"/>
          <w:bCs w:val="0"/>
          <w:color w:val="000000"/>
          <w:sz w:val="32"/>
          <w:szCs w:val="32"/>
          <w:lang w:val="en-US" w:eastAsia="zh-CN"/>
        </w:rPr>
        <w:t>、</w:t>
      </w:r>
      <w:r>
        <w:rPr>
          <w:rFonts w:hint="eastAsia" w:ascii="仿宋" w:hAnsi="仿宋" w:eastAsia="仿宋" w:cs="仿宋"/>
          <w:b w:val="0"/>
          <w:bCs w:val="0"/>
          <w:color w:val="000000"/>
          <w:sz w:val="32"/>
          <w:szCs w:val="32"/>
          <w:lang w:val="en-US" w:eastAsia="zh-CN"/>
        </w:rPr>
        <w:t>公共文化服务水平继续加强</w:t>
      </w:r>
      <w:r>
        <w:rPr>
          <w:rFonts w:hint="eastAsia" w:ascii="仿宋" w:hAnsi="仿宋" w:eastAsia="仿宋" w:cs="仿宋"/>
          <w:b w:val="0"/>
          <w:bCs w:val="0"/>
          <w:color w:val="000000"/>
          <w:sz w:val="32"/>
          <w:szCs w:val="32"/>
          <w:lang w:val="zh-TW" w:eastAsia="zh-CN"/>
        </w:rPr>
        <w:t>。</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outlineLvl w:val="0"/>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建设人才队伍，用好全市各项人才优惠政策，积极推动文旅人才引进工作，积极开展各类文旅专业人才培训、文旅管理人员培训、导游人才培训等，锻造一支“储备足、结构优、专业强”的文旅行业人才队伍。提升接待能力，加大高星级酒店品牌引进力度，引进威斯汀、索菲特、万豪等国际高端酒店品牌进驻南昌，全面提升我市旅游酒店的国际化、高端化水平。</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0" w:firstLine="560" w:firstLineChars="200"/>
        <w:textAlignment w:val="auto"/>
        <w:rPr>
          <w:rFonts w:hint="eastAsia" w:ascii="黑体" w:hAnsi="黑体" w:eastAsia="黑体"/>
          <w:sz w:val="32"/>
          <w:szCs w:val="32"/>
          <w:lang w:val="en-US" w:eastAsia="zh-CN"/>
        </w:rPr>
      </w:pPr>
      <w:r>
        <w:rPr>
          <w:rFonts w:hint="eastAsia" w:ascii="黑体" w:hAnsi="黑体" w:eastAsia="黑体" w:cs="Times New Roman"/>
          <w:kern w:val="2"/>
          <w:sz w:val="28"/>
          <w:szCs w:val="28"/>
          <w:lang w:val="en-US" w:eastAsia="zh-CN" w:bidi="ar-SA"/>
        </w:rPr>
        <w:t>七、其他需要说明的问题</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outlineLvl w:val="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1、根据此次项目支出绩效自评中发现的问题，提出改进措施，对相应问题整改落实到位。</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outlineLvl w:val="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2、2021年度南昌市文化广电新闻出版旅游局项目文化旅游发展专项支出绩效自评分为93.98分。此次项目支出绩效自评结果将作为南昌市文化广电新闻出版旅游局今年整体支出绩效评价考核的重要依据。</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outlineLvl w:val="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3、此次项目支出绩效自评材料及支出绩效报告按规定公开。</w:t>
      </w:r>
    </w:p>
    <w:p>
      <w:pPr>
        <w:pStyle w:val="12"/>
        <w:rPr>
          <w:rFonts w:hint="eastAsia" w:ascii="黑体" w:hAnsi="黑体" w:eastAsia="黑体"/>
          <w:sz w:val="32"/>
          <w:szCs w:val="32"/>
        </w:rPr>
      </w:pPr>
    </w:p>
    <w:p>
      <w:pPr>
        <w:spacing w:line="360" w:lineRule="auto"/>
        <w:jc w:val="both"/>
        <w:rPr>
          <w:rFonts w:hint="eastAsia" w:ascii="仿宋_GB2312" w:hAnsi="仿宋_GB2312" w:eastAsia="仿宋_GB2312" w:cs="仿宋_GB2312"/>
          <w:sz w:val="32"/>
          <w:szCs w:val="32"/>
          <w:lang w:val="en-US" w:eastAsia="zh-CN"/>
        </w:rPr>
      </w:pPr>
      <w:r>
        <w:rPr>
          <w:rFonts w:hint="eastAsia" w:ascii="黑体" w:hAnsi="黑体" w:eastAsia="黑体"/>
          <w:sz w:val="32"/>
          <w:szCs w:val="32"/>
        </w:rPr>
        <w:t xml:space="preserve">                                   </w:t>
      </w:r>
      <w:r>
        <w:rPr>
          <w:rFonts w:hint="eastAsia" w:ascii="黑体" w:hAnsi="黑体" w:eastAsia="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p>
    <w:p>
      <w:pPr>
        <w:spacing w:line="360" w:lineRule="auto"/>
        <w:ind w:firstLine="64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p>
    <w:p>
      <w:pPr>
        <w:pStyle w:val="8"/>
        <w:rPr>
          <w:rFonts w:hint="eastAsia" w:ascii="仿宋_GB2312" w:hAnsi="仿宋_GB2312" w:eastAsia="仿宋_GB2312" w:cs="仿宋_GB2312"/>
          <w:sz w:val="32"/>
          <w:szCs w:val="32"/>
        </w:rPr>
      </w:pPr>
    </w:p>
    <w:p>
      <w:pPr>
        <w:pStyle w:val="8"/>
        <w:rPr>
          <w:rFonts w:hint="eastAsia" w:ascii="仿宋_GB2312" w:hAnsi="仿宋_GB2312" w:eastAsia="仿宋_GB2312" w:cs="仿宋_GB2312"/>
          <w:sz w:val="32"/>
          <w:szCs w:val="32"/>
        </w:rPr>
      </w:pPr>
    </w:p>
    <w:p>
      <w:pPr>
        <w:pStyle w:val="8"/>
        <w:rPr>
          <w:rFonts w:hint="eastAsia" w:ascii="仿宋_GB2312" w:hAnsi="仿宋_GB2312" w:eastAsia="仿宋_GB2312" w:cs="仿宋_GB2312"/>
          <w:sz w:val="32"/>
          <w:szCs w:val="32"/>
        </w:rPr>
      </w:pPr>
    </w:p>
    <w:p>
      <w:pPr>
        <w:pStyle w:val="8"/>
        <w:rPr>
          <w:rFonts w:hint="eastAsia" w:ascii="仿宋_GB2312" w:hAnsi="仿宋_GB2312" w:eastAsia="仿宋_GB2312" w:cs="仿宋_GB2312"/>
          <w:sz w:val="32"/>
          <w:szCs w:val="32"/>
        </w:rPr>
      </w:pPr>
    </w:p>
    <w:p>
      <w:pPr>
        <w:pStyle w:val="8"/>
        <w:rPr>
          <w:rFonts w:hint="eastAsia" w:ascii="仿宋_GB2312" w:hAnsi="仿宋_GB2312" w:eastAsia="仿宋_GB2312" w:cs="仿宋_GB2312"/>
          <w:sz w:val="32"/>
          <w:szCs w:val="32"/>
        </w:rPr>
      </w:pPr>
    </w:p>
    <w:p>
      <w:pPr>
        <w:pStyle w:val="8"/>
        <w:rPr>
          <w:rFonts w:hint="eastAsia" w:ascii="仿宋_GB2312" w:hAnsi="仿宋_GB2312" w:eastAsia="仿宋_GB2312" w:cs="仿宋_GB2312"/>
          <w:sz w:val="32"/>
          <w:szCs w:val="32"/>
        </w:rPr>
      </w:pPr>
    </w:p>
    <w:p>
      <w:pPr>
        <w:pStyle w:val="8"/>
        <w:rPr>
          <w:rFonts w:hint="eastAsia" w:ascii="仿宋_GB2312" w:hAnsi="仿宋_GB2312" w:eastAsia="仿宋_GB2312" w:cs="仿宋_GB2312"/>
          <w:sz w:val="32"/>
          <w:szCs w:val="32"/>
        </w:rPr>
      </w:pPr>
    </w:p>
    <w:p>
      <w:pPr>
        <w:pStyle w:val="8"/>
        <w:rPr>
          <w:rFonts w:hint="eastAsia" w:ascii="仿宋_GB2312" w:hAnsi="仿宋_GB2312" w:eastAsia="仿宋_GB2312" w:cs="仿宋_GB2312"/>
          <w:sz w:val="32"/>
          <w:szCs w:val="32"/>
        </w:rPr>
      </w:pPr>
    </w:p>
    <w:p>
      <w:pPr>
        <w:pStyle w:val="8"/>
        <w:rPr>
          <w:rFonts w:hint="eastAsia" w:ascii="仿宋_GB2312" w:hAnsi="仿宋_GB2312" w:eastAsia="仿宋_GB2312" w:cs="仿宋_GB2312"/>
          <w:sz w:val="32"/>
          <w:szCs w:val="32"/>
        </w:rPr>
      </w:pPr>
    </w:p>
    <w:p>
      <w:pPr>
        <w:pStyle w:val="8"/>
        <w:rPr>
          <w:rFonts w:hint="eastAsia" w:ascii="仿宋_GB2312" w:hAnsi="仿宋_GB2312" w:eastAsia="仿宋_GB2312" w:cs="仿宋_GB2312"/>
          <w:sz w:val="32"/>
          <w:szCs w:val="32"/>
        </w:rPr>
      </w:pPr>
    </w:p>
    <w:p>
      <w:pPr>
        <w:pStyle w:val="8"/>
        <w:rPr>
          <w:rFonts w:hint="eastAsia" w:ascii="仿宋_GB2312" w:hAnsi="仿宋_GB2312" w:eastAsia="仿宋_GB2312" w:cs="仿宋_GB2312"/>
          <w:sz w:val="32"/>
          <w:szCs w:val="32"/>
        </w:rPr>
      </w:pPr>
    </w:p>
    <w:p>
      <w:pPr>
        <w:pStyle w:val="8"/>
        <w:rPr>
          <w:rFonts w:hint="eastAsia" w:ascii="仿宋_GB2312" w:hAnsi="仿宋_GB2312" w:eastAsia="仿宋_GB2312" w:cs="仿宋_GB2312"/>
          <w:sz w:val="32"/>
          <w:szCs w:val="32"/>
        </w:rPr>
      </w:pPr>
    </w:p>
    <w:p>
      <w:pPr>
        <w:jc w:val="center"/>
        <w:rPr>
          <w:rFonts w:hint="eastAsia" w:ascii="方正小标宋简体" w:hAnsi="宋体" w:eastAsia="方正小标宋简体" w:cs="Arial"/>
          <w:bCs/>
          <w:color w:val="000000"/>
          <w:spacing w:val="40"/>
          <w:sz w:val="36"/>
          <w:szCs w:val="36"/>
          <w:lang w:val="en-US" w:eastAsia="zh-CN"/>
        </w:rPr>
      </w:pPr>
      <w:r>
        <w:rPr>
          <w:rFonts w:hint="eastAsia" w:ascii="方正小标宋简体" w:hAnsi="宋体" w:eastAsia="方正小标宋简体" w:cs="Arial"/>
          <w:bCs/>
          <w:color w:val="000000"/>
          <w:spacing w:val="40"/>
          <w:sz w:val="36"/>
          <w:szCs w:val="36"/>
          <w:lang w:val="en-US" w:eastAsia="zh-CN"/>
        </w:rPr>
        <w:t>南昌市文化广电新闻出版旅游局</w:t>
      </w:r>
    </w:p>
    <w:p>
      <w:pPr>
        <w:jc w:val="center"/>
        <w:rPr>
          <w:rFonts w:hint="eastAsia" w:ascii="方正小标宋简体" w:hAnsi="宋体" w:eastAsia="方正小标宋简体" w:cs="Arial"/>
          <w:bCs/>
          <w:color w:val="000000"/>
          <w:sz w:val="36"/>
          <w:szCs w:val="36"/>
        </w:rPr>
      </w:pPr>
      <w:r>
        <w:rPr>
          <w:rFonts w:hint="eastAsia" w:ascii="方正小标宋简体" w:hAnsi="宋体" w:eastAsia="方正小标宋简体" w:cs="Arial"/>
          <w:bCs/>
          <w:color w:val="000000"/>
          <w:spacing w:val="40"/>
          <w:sz w:val="36"/>
          <w:szCs w:val="36"/>
          <w:lang w:eastAsia="zh-CN"/>
        </w:rPr>
        <w:t>文化旅游产业发展专项</w:t>
      </w:r>
      <w:r>
        <w:rPr>
          <w:rFonts w:hint="eastAsia" w:ascii="方正小标宋简体" w:hAnsi="宋体" w:eastAsia="方正小标宋简体" w:cs="Arial"/>
          <w:bCs/>
          <w:color w:val="000000"/>
          <w:spacing w:val="40"/>
          <w:sz w:val="36"/>
          <w:szCs w:val="36"/>
        </w:rPr>
        <w:t>支出绩效评分</w:t>
      </w:r>
      <w:r>
        <w:rPr>
          <w:rFonts w:hint="eastAsia" w:ascii="方正小标宋简体" w:hAnsi="宋体" w:eastAsia="方正小标宋简体" w:cs="Arial"/>
          <w:bCs/>
          <w:color w:val="000000"/>
          <w:sz w:val="36"/>
          <w:szCs w:val="36"/>
        </w:rPr>
        <w:t>表</w:t>
      </w:r>
    </w:p>
    <w:p>
      <w:pPr>
        <w:pStyle w:val="2"/>
        <w:rPr>
          <w:rFonts w:hint="eastAsia"/>
        </w:rPr>
      </w:pPr>
    </w:p>
    <w:tbl>
      <w:tblPr>
        <w:tblStyle w:val="13"/>
        <w:tblW w:w="476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8"/>
        <w:gridCol w:w="1101"/>
        <w:gridCol w:w="1321"/>
        <w:gridCol w:w="780"/>
        <w:gridCol w:w="4494"/>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blHeader/>
          <w:jc w:val="center"/>
        </w:trPr>
        <w:tc>
          <w:tcPr>
            <w:tcW w:w="484" w:type="pct"/>
            <w:shd w:val="clear" w:color="auto" w:fill="FFFFFF"/>
            <w:noWrap w:val="0"/>
            <w:vAlign w:val="center"/>
          </w:tcPr>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一级</w:t>
            </w:r>
          </w:p>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指标</w:t>
            </w:r>
          </w:p>
        </w:tc>
        <w:tc>
          <w:tcPr>
            <w:tcW w:w="586" w:type="pct"/>
            <w:shd w:val="clear" w:color="auto" w:fill="FFFFFF"/>
            <w:noWrap w:val="0"/>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二级指标</w:t>
            </w:r>
          </w:p>
        </w:tc>
        <w:tc>
          <w:tcPr>
            <w:tcW w:w="703" w:type="pct"/>
            <w:shd w:val="clear" w:color="auto" w:fill="FFFFFF"/>
            <w:noWrap w:val="0"/>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三级指标</w:t>
            </w:r>
          </w:p>
        </w:tc>
        <w:tc>
          <w:tcPr>
            <w:tcW w:w="415" w:type="pct"/>
            <w:shd w:val="clear" w:color="auto" w:fill="FFFFFF"/>
            <w:noWrap w:val="0"/>
            <w:vAlign w:val="center"/>
          </w:tcPr>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分值权重</w:t>
            </w:r>
          </w:p>
        </w:tc>
        <w:tc>
          <w:tcPr>
            <w:tcW w:w="2391" w:type="pct"/>
            <w:shd w:val="clear" w:color="auto" w:fill="FFFFFF"/>
            <w:noWrap w:val="0"/>
            <w:vAlign w:val="center"/>
          </w:tcPr>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评分标准</w:t>
            </w:r>
          </w:p>
        </w:tc>
        <w:tc>
          <w:tcPr>
            <w:tcW w:w="419" w:type="pct"/>
            <w:shd w:val="clear" w:color="auto" w:fill="FFFFFF"/>
            <w:noWrap w:val="0"/>
            <w:vAlign w:val="center"/>
          </w:tcPr>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评价</w:t>
            </w:r>
          </w:p>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5" w:hRule="atLeast"/>
          <w:jc w:val="center"/>
        </w:trPr>
        <w:tc>
          <w:tcPr>
            <w:tcW w:w="484" w:type="pct"/>
            <w:vMerge w:val="restar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rPr>
              <w:t>决</w:t>
            </w:r>
            <w:r>
              <w:rPr>
                <w:rFonts w:hint="eastAsia" w:ascii="黑体" w:hAnsi="宋体" w:eastAsia="黑体" w:cs="宋体"/>
                <w:color w:val="000000"/>
                <w:kern w:val="0"/>
                <w:sz w:val="20"/>
                <w:lang w:val="en-US" w:eastAsia="zh-CN"/>
              </w:rPr>
              <w:t>策</w:t>
            </w:r>
          </w:p>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lang w:val="en-US" w:eastAsia="zh-CN"/>
              </w:rPr>
              <w:t>（15分）</w:t>
            </w:r>
          </w:p>
          <w:p>
            <w:pPr>
              <w:widowControl/>
              <w:spacing w:line="240" w:lineRule="exact"/>
              <w:jc w:val="center"/>
              <w:rPr>
                <w:rFonts w:hint="eastAsia" w:ascii="黑体" w:hAnsi="宋体" w:eastAsia="黑体" w:cs="宋体"/>
                <w:color w:val="000000"/>
                <w:kern w:val="0"/>
                <w:sz w:val="20"/>
              </w:rPr>
            </w:pPr>
          </w:p>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rPr>
              <w:t>　</w:t>
            </w:r>
          </w:p>
        </w:tc>
        <w:tc>
          <w:tcPr>
            <w:tcW w:w="586" w:type="pct"/>
            <w:vMerge w:val="restart"/>
            <w:shd w:val="clear" w:color="auto" w:fill="FFFFFF"/>
            <w:noWrap w:val="0"/>
            <w:vAlign w:val="center"/>
          </w:tcPr>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rPr>
              <w:t>项目立项</w:t>
            </w: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lang w:val="en-US" w:eastAsia="zh-CN"/>
              </w:rPr>
              <w:t>5分</w:t>
            </w: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rPr>
              <w:t>　</w:t>
            </w:r>
          </w:p>
        </w:tc>
        <w:tc>
          <w:tcPr>
            <w:tcW w:w="703"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立项依据充分性</w:t>
            </w:r>
          </w:p>
        </w:tc>
        <w:tc>
          <w:tcPr>
            <w:tcW w:w="415" w:type="pct"/>
            <w:shd w:val="clear" w:color="auto"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2.5</w:t>
            </w:r>
          </w:p>
        </w:tc>
        <w:tc>
          <w:tcPr>
            <w:tcW w:w="2391"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1、项目立项是否符合国家法律法规、国民经济发展规划和相关政策（0.5分）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2、项目立项是否符合行业发展规划和政策要求（0.5分）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3、项目立项是否与部门职责范围相符，属于部门履职所需（0.5分）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4、项目是否属于公共财政支持范围，是否符合中央、地方事权支出责任划分原则（0.5分）</w:t>
            </w:r>
            <w:r>
              <w:rPr>
                <w:rFonts w:hint="eastAsia" w:ascii="黑体" w:hAnsi="宋体" w:eastAsia="黑体" w:cs="宋体"/>
                <w:color w:val="000000"/>
                <w:kern w:val="0"/>
                <w:sz w:val="20"/>
                <w:lang w:val="en-US" w:eastAsia="zh-CN"/>
              </w:rPr>
              <w:br w:type="textWrapping"/>
            </w:r>
            <w:r>
              <w:rPr>
                <w:rFonts w:hint="eastAsia" w:ascii="黑体" w:hAnsi="宋体" w:eastAsia="黑体" w:cs="宋体"/>
                <w:color w:val="000000"/>
                <w:kern w:val="0"/>
                <w:sz w:val="20"/>
                <w:lang w:val="en-US" w:eastAsia="zh-CN"/>
              </w:rPr>
              <w:t>5、项目是否与相关部门同类项目或部门内部相关项目重复（0.5分）</w:t>
            </w:r>
          </w:p>
        </w:tc>
        <w:tc>
          <w:tcPr>
            <w:tcW w:w="419"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立项程序规范性</w:t>
            </w:r>
          </w:p>
        </w:tc>
        <w:tc>
          <w:tcPr>
            <w:tcW w:w="415" w:type="pct"/>
            <w:shd w:val="clear" w:color="auto"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2.5</w:t>
            </w:r>
          </w:p>
        </w:tc>
        <w:tc>
          <w:tcPr>
            <w:tcW w:w="2391"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1、项目是否按照规定的程序申请设立（0.8分）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2、审批文件、材料是否符合相关要求（0.8分）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3、事前是否已经过必要的可行性研究、专家论证、风险评估、绩效评估、集体决策（0.9分）</w:t>
            </w:r>
          </w:p>
        </w:tc>
        <w:tc>
          <w:tcPr>
            <w:tcW w:w="419"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restart"/>
            <w:shd w:val="clear" w:color="auto" w:fill="FFFFFF"/>
            <w:noWrap w:val="0"/>
            <w:vAlign w:val="center"/>
          </w:tcPr>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rPr>
              <w:t>绩效目标</w:t>
            </w: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lang w:val="en-US" w:eastAsia="zh-CN"/>
              </w:rPr>
              <w:t>5分</w:t>
            </w: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rPr>
              <w:t>　</w:t>
            </w:r>
          </w:p>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绩效目标合理性</w:t>
            </w:r>
          </w:p>
        </w:tc>
        <w:tc>
          <w:tcPr>
            <w:tcW w:w="415" w:type="pct"/>
            <w:shd w:val="clear" w:color="000000"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2.5</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1、项目是否有绩效目标（0.6分）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2、项目绩效目标与实际工作内容是否具有相关性（0.6分）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3、项目预期产出效益和效果是否符合正常的业绩水平（0.6分）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4、是否与预算确定的项目投资额或资金量相匹配（0.7分）</w:t>
            </w:r>
          </w:p>
        </w:tc>
        <w:tc>
          <w:tcPr>
            <w:tcW w:w="419" w:type="pct"/>
            <w:shd w:val="clear" w:color="000000"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绩效指标明确性</w:t>
            </w:r>
          </w:p>
        </w:tc>
        <w:tc>
          <w:tcPr>
            <w:tcW w:w="415" w:type="pct"/>
            <w:shd w:val="clear" w:color="000000"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2.5</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1、是否将项目绩效目标细化分解为具体的绩效指标（0.8分）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2、是否通过清晰、可衡量的指标值予以体现（0.8分）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3、是否与项目目标任务数或计划数相对应（0.8分）</w:t>
            </w:r>
          </w:p>
        </w:tc>
        <w:tc>
          <w:tcPr>
            <w:tcW w:w="419" w:type="pct"/>
            <w:shd w:val="clear" w:color="000000"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restart"/>
            <w:shd w:val="clear" w:color="auto" w:fill="FFFFFF"/>
            <w:noWrap w:val="0"/>
            <w:vAlign w:val="center"/>
          </w:tcPr>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rPr>
              <w:t>资金投入</w:t>
            </w: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lang w:val="en-US" w:eastAsia="zh-CN"/>
              </w:rPr>
              <w:t>5分</w:t>
            </w:r>
            <w:r>
              <w:rPr>
                <w:rFonts w:hint="eastAsia" w:ascii="黑体" w:hAnsi="宋体" w:eastAsia="黑体" w:cs="宋体"/>
                <w:color w:val="000000"/>
                <w:kern w:val="0"/>
                <w:sz w:val="20"/>
                <w:lang w:eastAsia="zh-CN"/>
              </w:rPr>
              <w:t>）</w:t>
            </w:r>
          </w:p>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rPr>
              <w:t>　</w:t>
            </w:r>
          </w:p>
        </w:tc>
        <w:tc>
          <w:tcPr>
            <w:tcW w:w="703"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预算编制科学性</w:t>
            </w:r>
          </w:p>
        </w:tc>
        <w:tc>
          <w:tcPr>
            <w:tcW w:w="415" w:type="pct"/>
            <w:shd w:val="clear" w:color="auto"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2.5</w:t>
            </w:r>
          </w:p>
        </w:tc>
        <w:tc>
          <w:tcPr>
            <w:tcW w:w="2391"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1、预算编制是否经过科学论证（0.6分）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2、预算内容与项目内容是否匹配（0.7分）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3、预算额度测算依据是否充分，是否按照标准编制（0.6分）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4、预算确定的项目投资额或资金量是否与工作任务相匹配（0.6分）</w:t>
            </w:r>
          </w:p>
        </w:tc>
        <w:tc>
          <w:tcPr>
            <w:tcW w:w="419"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资金分配合理性</w:t>
            </w:r>
          </w:p>
        </w:tc>
        <w:tc>
          <w:tcPr>
            <w:tcW w:w="415" w:type="pct"/>
            <w:shd w:val="clear" w:color="auto"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2.5</w:t>
            </w:r>
          </w:p>
        </w:tc>
        <w:tc>
          <w:tcPr>
            <w:tcW w:w="2391"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1、预算资金分配依据是否充分（1.25分）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2、资金分配额度是否合理，与项目单位或地方实际是否相适应（1.25分）</w:t>
            </w:r>
          </w:p>
        </w:tc>
        <w:tc>
          <w:tcPr>
            <w:tcW w:w="419"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484" w:type="pct"/>
            <w:vMerge w:val="restart"/>
            <w:shd w:val="clear" w:color="auto" w:fill="FFFFFF"/>
            <w:noWrap w:val="0"/>
            <w:vAlign w:val="center"/>
          </w:tcPr>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rPr>
              <w:t>过程</w:t>
            </w:r>
          </w:p>
          <w:p>
            <w:pPr>
              <w:widowControl/>
              <w:spacing w:line="240" w:lineRule="exact"/>
              <w:jc w:val="center"/>
              <w:rPr>
                <w:rFonts w:hint="eastAsia" w:ascii="黑体" w:hAnsi="宋体" w:eastAsia="黑体" w:cs="宋体"/>
                <w:color w:val="000000"/>
                <w:kern w:val="0"/>
                <w:sz w:val="20"/>
                <w:lang w:eastAsia="zh-CN"/>
              </w:rPr>
            </w:pPr>
            <w:r>
              <w:rPr>
                <w:rFonts w:hint="eastAsia" w:ascii="黑体" w:hAnsi="宋体" w:eastAsia="黑体" w:cs="宋体"/>
                <w:color w:val="000000"/>
                <w:kern w:val="0"/>
                <w:sz w:val="20"/>
                <w:lang w:val="en-US" w:eastAsia="zh-CN"/>
              </w:rPr>
              <w:t>（15分</w:t>
            </w:r>
            <w:r>
              <w:rPr>
                <w:rFonts w:hint="eastAsia" w:ascii="黑体" w:hAnsi="宋体" w:eastAsia="黑体" w:cs="宋体"/>
                <w:color w:val="000000"/>
                <w:kern w:val="0"/>
                <w:sz w:val="20"/>
                <w:lang w:eastAsia="zh-CN"/>
              </w:rPr>
              <w:t>）</w:t>
            </w:r>
          </w:p>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rPr>
              <w:t>　　</w:t>
            </w:r>
          </w:p>
        </w:tc>
        <w:tc>
          <w:tcPr>
            <w:tcW w:w="586" w:type="pct"/>
            <w:vMerge w:val="restart"/>
            <w:shd w:val="clear" w:color="auto" w:fill="FFFFFF"/>
            <w:noWrap w:val="0"/>
            <w:vAlign w:val="center"/>
          </w:tcPr>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rPr>
              <w:t>资金管理</w:t>
            </w: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lang w:val="en-US" w:eastAsia="zh-CN"/>
              </w:rPr>
              <w:t>10分</w:t>
            </w:r>
            <w:r>
              <w:rPr>
                <w:rFonts w:hint="eastAsia" w:ascii="黑体" w:hAnsi="宋体" w:eastAsia="黑体" w:cs="宋体"/>
                <w:color w:val="000000"/>
                <w:kern w:val="0"/>
                <w:sz w:val="20"/>
                <w:lang w:eastAsia="zh-CN"/>
              </w:rPr>
              <w:t>）</w:t>
            </w:r>
          </w:p>
        </w:tc>
        <w:tc>
          <w:tcPr>
            <w:tcW w:w="703"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资金到位率</w:t>
            </w:r>
          </w:p>
        </w:tc>
        <w:tc>
          <w:tcPr>
            <w:tcW w:w="415" w:type="pct"/>
            <w:shd w:val="clear" w:color="000000"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2.5</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资金到位率=（实际到位资金/预算资金）×100%。（2.5分）</w:t>
            </w:r>
          </w:p>
        </w:tc>
        <w:tc>
          <w:tcPr>
            <w:tcW w:w="419"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预算执行率</w:t>
            </w:r>
          </w:p>
        </w:tc>
        <w:tc>
          <w:tcPr>
            <w:tcW w:w="415" w:type="pct"/>
            <w:shd w:val="clear" w:color="auto"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2.5</w:t>
            </w:r>
          </w:p>
        </w:tc>
        <w:tc>
          <w:tcPr>
            <w:tcW w:w="2391"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预算执行率=（实际支出资金/实际到位资金）×100%。（2.5分）</w:t>
            </w:r>
          </w:p>
        </w:tc>
        <w:tc>
          <w:tcPr>
            <w:tcW w:w="419" w:type="pct"/>
            <w:shd w:val="clear" w:color="auto"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资金使用合规性</w:t>
            </w:r>
          </w:p>
        </w:tc>
        <w:tc>
          <w:tcPr>
            <w:tcW w:w="415"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5</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1、是否符合国家财经法规和财务管理制度以及有关专项资金管理办法的规定（1.25分）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2、资金的拨付是否有完整的审批程序和手续（1.25分）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3、是否符合项目预算批复或合同规定的用途（1.25分）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4、是否存在截留、挤占、挪用、虚列支出等情况。（1.25分）</w:t>
            </w:r>
          </w:p>
        </w:tc>
        <w:tc>
          <w:tcPr>
            <w:tcW w:w="419"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restart"/>
            <w:shd w:val="clear" w:color="auto" w:fill="FFFFFF"/>
            <w:noWrap w:val="0"/>
            <w:vAlign w:val="center"/>
          </w:tcPr>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rPr>
              <w:t>组织实施</w:t>
            </w: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lang w:val="en-US" w:eastAsia="zh-CN"/>
              </w:rPr>
              <w:t>5分</w:t>
            </w:r>
            <w:r>
              <w:rPr>
                <w:rFonts w:hint="eastAsia" w:ascii="黑体" w:hAnsi="宋体" w:eastAsia="黑体" w:cs="宋体"/>
                <w:color w:val="000000"/>
                <w:kern w:val="0"/>
                <w:sz w:val="20"/>
                <w:lang w:eastAsia="zh-CN"/>
              </w:rPr>
              <w:t>）</w:t>
            </w:r>
          </w:p>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rPr>
              <w:t>　</w:t>
            </w:r>
          </w:p>
        </w:tc>
        <w:tc>
          <w:tcPr>
            <w:tcW w:w="703"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管理制度健全性</w:t>
            </w:r>
          </w:p>
        </w:tc>
        <w:tc>
          <w:tcPr>
            <w:tcW w:w="415" w:type="pct"/>
            <w:shd w:val="clear" w:color="000000"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2.5</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1、是否已制定或具有相应的财务和业务管理制度（1.25分）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2、财务和业务管理制度是否合法、合规、完整（1.25分）</w:t>
            </w:r>
          </w:p>
        </w:tc>
        <w:tc>
          <w:tcPr>
            <w:tcW w:w="419"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制度执行有效性</w:t>
            </w:r>
          </w:p>
        </w:tc>
        <w:tc>
          <w:tcPr>
            <w:tcW w:w="415" w:type="pct"/>
            <w:shd w:val="clear" w:color="000000"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2.5</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1、是否遵守相关法律法规和相关管理规定（0.6分）2、项目调整及支出调整手续是否完备（0.6分）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3、项目合同书、验收报告、技术鉴定等资料是否齐全并及时归档（0.6分）</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4、项目实施的人员条件、场地设备、信息支撑等是否落实到位（0.7分）</w:t>
            </w:r>
          </w:p>
        </w:tc>
        <w:tc>
          <w:tcPr>
            <w:tcW w:w="419"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484" w:type="pct"/>
            <w:vMerge w:val="restart"/>
            <w:shd w:val="clear" w:color="auto" w:fill="FFFFFF"/>
            <w:noWrap w:val="0"/>
            <w:vAlign w:val="center"/>
          </w:tcPr>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rPr>
              <w:t>产出</w:t>
            </w:r>
          </w:p>
          <w:p>
            <w:pPr>
              <w:widowControl/>
              <w:spacing w:line="240" w:lineRule="exact"/>
              <w:jc w:val="center"/>
              <w:rPr>
                <w:rFonts w:hint="eastAsia" w:ascii="黑体" w:hAnsi="宋体" w:eastAsia="黑体" w:cs="宋体"/>
                <w:color w:val="000000"/>
                <w:kern w:val="0"/>
                <w:sz w:val="20"/>
                <w:lang w:eastAsia="zh-CN"/>
              </w:rPr>
            </w:pP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lang w:val="en-US" w:eastAsia="zh-CN"/>
              </w:rPr>
              <w:t>35分</w:t>
            </w:r>
            <w:r>
              <w:rPr>
                <w:rFonts w:hint="eastAsia" w:ascii="黑体" w:hAnsi="宋体" w:eastAsia="黑体" w:cs="宋体"/>
                <w:color w:val="000000"/>
                <w:kern w:val="0"/>
                <w:sz w:val="20"/>
                <w:lang w:eastAsia="zh-CN"/>
              </w:rPr>
              <w:t>）</w:t>
            </w:r>
          </w:p>
        </w:tc>
        <w:tc>
          <w:tcPr>
            <w:tcW w:w="586" w:type="pct"/>
            <w:vMerge w:val="restart"/>
            <w:shd w:val="clear" w:color="auto" w:fill="FFFFFF"/>
            <w:noWrap w:val="0"/>
            <w:vAlign w:val="center"/>
          </w:tcPr>
          <w:p>
            <w:pPr>
              <w:widowControl/>
              <w:spacing w:line="240" w:lineRule="exact"/>
              <w:jc w:val="center"/>
              <w:rPr>
                <w:rFonts w:hint="eastAsia" w:ascii="黑体" w:hAnsi="宋体" w:eastAsia="黑体" w:cs="宋体"/>
                <w:color w:val="000000"/>
                <w:kern w:val="0"/>
                <w:sz w:val="20"/>
                <w:lang w:eastAsia="zh-CN"/>
              </w:rPr>
            </w:pPr>
            <w:r>
              <w:rPr>
                <w:rFonts w:hint="eastAsia" w:ascii="黑体" w:hAnsi="宋体" w:eastAsia="黑体" w:cs="宋体"/>
                <w:color w:val="000000"/>
                <w:kern w:val="0"/>
                <w:sz w:val="20"/>
              </w:rPr>
              <w:t>产出数量</w:t>
            </w: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lang w:val="en-US" w:eastAsia="zh-CN"/>
              </w:rPr>
              <w:t>10分</w:t>
            </w:r>
            <w:r>
              <w:rPr>
                <w:rFonts w:hint="eastAsia" w:ascii="黑体" w:hAnsi="宋体" w:eastAsia="黑体" w:cs="宋体"/>
                <w:color w:val="000000"/>
                <w:kern w:val="0"/>
                <w:sz w:val="20"/>
                <w:lang w:eastAsia="zh-CN"/>
              </w:rPr>
              <w:t>）</w:t>
            </w:r>
          </w:p>
        </w:tc>
        <w:tc>
          <w:tcPr>
            <w:tcW w:w="703" w:type="pct"/>
            <w:shd w:val="clear" w:color="auto" w:fill="FFFFFF"/>
            <w:noWrap w:val="0"/>
            <w:vAlign w:val="center"/>
          </w:tcPr>
          <w:p>
            <w:pPr>
              <w:widowControl/>
              <w:spacing w:line="240" w:lineRule="exact"/>
              <w:ind w:left="-63" w:leftChars="-30" w:right="-63" w:rightChars="-30"/>
              <w:jc w:val="center"/>
              <w:rPr>
                <w:rFonts w:hint="default"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文旅宣传推广工作12项</w:t>
            </w:r>
          </w:p>
        </w:tc>
        <w:tc>
          <w:tcPr>
            <w:tcW w:w="415" w:type="pct"/>
            <w:shd w:val="clear" w:color="000000" w:fill="FFFFFF"/>
            <w:noWrap w:val="0"/>
            <w:vAlign w:val="center"/>
          </w:tcPr>
          <w:p>
            <w:pPr>
              <w:widowControl/>
              <w:spacing w:line="240" w:lineRule="exact"/>
              <w:ind w:left="-63" w:leftChars="-30" w:right="-63" w:rightChars="-30"/>
              <w:jc w:val="center"/>
              <w:rPr>
                <w:rFonts w:hint="default"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实际完成率=（实际产出数/计划产出数）×100%。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得分=实际完成率*分值权重</w:t>
            </w:r>
          </w:p>
        </w:tc>
        <w:tc>
          <w:tcPr>
            <w:tcW w:w="419" w:type="pct"/>
            <w:shd w:val="clear" w:color="000000" w:fill="FFFFFF"/>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文旅政策兑现奖励10项</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实际完成率=（实际产出数/计划产出数）×100%。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得分=实际完成率*分值权重</w:t>
            </w:r>
          </w:p>
        </w:tc>
        <w:tc>
          <w:tcPr>
            <w:tcW w:w="419" w:type="pct"/>
            <w:shd w:val="clear" w:color="000000" w:fill="FFFFFF"/>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 xml:space="preserve">文旅公共服务及活动 </w:t>
            </w:r>
          </w:p>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10项</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实际完成率=（实际产出数/计划产出数）×100%。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得分=实际完成率*分值权重</w:t>
            </w:r>
          </w:p>
        </w:tc>
        <w:tc>
          <w:tcPr>
            <w:tcW w:w="419"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建党100周年活动3类</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实际完成率=（实际产出数/计划产出数）×100%。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得分=实际完成率*分值权重</w:t>
            </w:r>
          </w:p>
        </w:tc>
        <w:tc>
          <w:tcPr>
            <w:tcW w:w="419"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文旅公共服务设施建设 5项</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实际完成率=（实际产出数/计划产出数）×100%。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得分=实际完成率*分值权重</w:t>
            </w:r>
          </w:p>
        </w:tc>
        <w:tc>
          <w:tcPr>
            <w:tcW w:w="419"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文物保护与利用工作3项</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实际完成率=（实际产出数/计划产出数）×100%。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得分=实际完成率*分值权重</w:t>
            </w:r>
          </w:p>
        </w:tc>
        <w:tc>
          <w:tcPr>
            <w:tcW w:w="419"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优秀艺术作品创作5个</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实际完成率=（实际产出数/计划产出数）×100%。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得分=实际完成率*分值权重</w:t>
            </w:r>
          </w:p>
        </w:tc>
        <w:tc>
          <w:tcPr>
            <w:tcW w:w="419" w:type="pct"/>
            <w:shd w:val="clear" w:color="000000" w:fill="FFFFFF"/>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文旅行业人才培训2期</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实际完成率=（实际产出数/计划产出数）×100%。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得分=实际完成率*分值权重</w:t>
            </w:r>
          </w:p>
        </w:tc>
        <w:tc>
          <w:tcPr>
            <w:tcW w:w="419"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黑体" w:eastAsia="黑体" w:cs="黑体"/>
                <w:color w:val="000000"/>
                <w:kern w:val="0"/>
                <w:sz w:val="20"/>
                <w:lang w:val="en-US" w:eastAsia="zh-CN"/>
              </w:rPr>
              <w:t>全市现场抽样调查样本8000份</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实际完成率=（实际产出数/计划产出数）×100%。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得分=实际完成率*分值权重</w:t>
            </w:r>
          </w:p>
        </w:tc>
        <w:tc>
          <w:tcPr>
            <w:tcW w:w="419"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kern w:val="0"/>
                <w:szCs w:val="21"/>
                <w:lang w:val="en-US" w:eastAsia="zh-CN"/>
              </w:rPr>
              <w:t>形成调研报告3阶段</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实际完成率=（实际产出数/计划产出数）×100%。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得分=实际完成率*分值权重</w:t>
            </w:r>
          </w:p>
        </w:tc>
        <w:tc>
          <w:tcPr>
            <w:tcW w:w="419"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购买导游卡1200套</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实际完成率=（实际产出数/计划产出数）×100%。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得分=实际完成率*分值权重</w:t>
            </w:r>
          </w:p>
        </w:tc>
        <w:tc>
          <w:tcPr>
            <w:tcW w:w="419"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黑体" w:eastAsia="黑体" w:cs="黑体"/>
                <w:color w:val="000000"/>
                <w:kern w:val="0"/>
                <w:sz w:val="20"/>
              </w:rPr>
              <w:t>开展自媒体宣传项目1次</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实际完成率=（实际产出数/计划产出数）×100%。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得分=实际完成率*分值权重</w:t>
            </w:r>
          </w:p>
        </w:tc>
        <w:tc>
          <w:tcPr>
            <w:tcW w:w="419"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szCs w:val="22"/>
                <w:lang w:val="en-US" w:eastAsia="zh-CN"/>
              </w:rPr>
              <w:t>建设智慧文旅指挥调度监测系统二期一项</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实际完成率=（实际产出数/计划产出数）×100%。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得分=实际完成率*分值权重</w:t>
            </w:r>
          </w:p>
        </w:tc>
        <w:tc>
          <w:tcPr>
            <w:tcW w:w="419"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送戏下乡资金支付完成率</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实际完成率=（实际产出数/计划产出数）×100%。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得分=实际完成率*分值权重</w:t>
            </w:r>
          </w:p>
        </w:tc>
        <w:tc>
          <w:tcPr>
            <w:tcW w:w="419"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restart"/>
            <w:shd w:val="clear" w:color="auto" w:fill="FFFFFF"/>
            <w:noWrap w:val="0"/>
            <w:vAlign w:val="center"/>
          </w:tcPr>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rPr>
              <w:t>产出质量</w:t>
            </w: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lang w:val="en-US" w:eastAsia="zh-CN"/>
              </w:rPr>
              <w:t>10分</w:t>
            </w:r>
            <w:r>
              <w:rPr>
                <w:rFonts w:hint="eastAsia" w:ascii="黑体" w:hAnsi="宋体" w:eastAsia="黑体" w:cs="宋体"/>
                <w:color w:val="000000"/>
                <w:kern w:val="0"/>
                <w:sz w:val="20"/>
                <w:lang w:eastAsia="zh-CN"/>
              </w:rPr>
              <w:t>）</w:t>
            </w:r>
          </w:p>
        </w:tc>
        <w:tc>
          <w:tcPr>
            <w:tcW w:w="703" w:type="pct"/>
            <w:shd w:val="clear" w:color="auto" w:fill="FFFFFF"/>
            <w:noWrap w:val="0"/>
            <w:vAlign w:val="center"/>
          </w:tcPr>
          <w:p>
            <w:pPr>
              <w:widowControl/>
              <w:spacing w:line="240" w:lineRule="exact"/>
              <w:ind w:left="-63" w:leftChars="-30" w:right="-63" w:rightChars="-30"/>
              <w:jc w:val="center"/>
              <w:rPr>
                <w:rFonts w:hint="default"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文旅宣传推广招投标合规率</w:t>
            </w:r>
          </w:p>
        </w:tc>
        <w:tc>
          <w:tcPr>
            <w:tcW w:w="415" w:type="pct"/>
            <w:shd w:val="clear" w:color="000000" w:fill="FFFFFF"/>
            <w:noWrap w:val="0"/>
            <w:vAlign w:val="center"/>
          </w:tcPr>
          <w:p>
            <w:pPr>
              <w:widowControl/>
              <w:spacing w:line="240" w:lineRule="exact"/>
              <w:ind w:left="-63" w:leftChars="-30" w:right="-63" w:rightChars="-30"/>
              <w:jc w:val="center"/>
              <w:rPr>
                <w:rFonts w:hint="default"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质量达标率=（质量达标产出数/实际产出数）×100%。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得分=质量达标率*分值权重</w:t>
            </w:r>
          </w:p>
        </w:tc>
        <w:tc>
          <w:tcPr>
            <w:tcW w:w="419" w:type="pct"/>
            <w:shd w:val="clear" w:color="000000" w:fill="FFFFFF"/>
            <w:noWrap w:val="0"/>
            <w:vAlign w:val="center"/>
          </w:tcPr>
          <w:p>
            <w:pPr>
              <w:widowControl/>
              <w:spacing w:line="240" w:lineRule="exact"/>
              <w:ind w:left="-63" w:leftChars="-30" w:right="-63" w:rightChars="-30"/>
              <w:jc w:val="center"/>
              <w:rPr>
                <w:rFonts w:hint="default"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文旅政策奖励兑现符合标准率</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质量达标率=（质量达标产出数/实际产出数）×100%。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得分=质量达标率*分值权重</w:t>
            </w:r>
          </w:p>
        </w:tc>
        <w:tc>
          <w:tcPr>
            <w:tcW w:w="419"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文旅公共服务演出活动上座率</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质量达标率=（质量达标产出数/实际产出数）×100%。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得分=质量达标率*分值权重</w:t>
            </w:r>
          </w:p>
        </w:tc>
        <w:tc>
          <w:tcPr>
            <w:tcW w:w="419"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建党100周年活动观众上座率</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质量达标率=（质量达标产出数/实际产出数）×100%。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得分=质量达标率*分值权重</w:t>
            </w:r>
          </w:p>
        </w:tc>
        <w:tc>
          <w:tcPr>
            <w:tcW w:w="419"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文旅公共服务设施建设验收合格率</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质量达标率=（质量达标产出数/实际产出数）×100%。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得分=质量达标率*分值权重</w:t>
            </w:r>
          </w:p>
        </w:tc>
        <w:tc>
          <w:tcPr>
            <w:tcW w:w="419"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文物保护与利用合格率</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质量达标率=（质量达标产出数/实际产出数）×100%。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得分=质量达标率*分值权重</w:t>
            </w:r>
          </w:p>
        </w:tc>
        <w:tc>
          <w:tcPr>
            <w:tcW w:w="419"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优秀艺术作品创作演出成功率</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质量达标率=（质量达标产出数/实际产出数）×100%。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得分=质量达标率*分值权重</w:t>
            </w:r>
          </w:p>
        </w:tc>
        <w:tc>
          <w:tcPr>
            <w:tcW w:w="419"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szCs w:val="22"/>
                <w:lang w:val="en-US" w:eastAsia="zh-CN" w:bidi="ar-SA"/>
              </w:rPr>
              <w:t>培训合格率</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质量达标率=（质量达标产出数/实际产出数）×100%。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得分=质量达标率*分值权重</w:t>
            </w:r>
          </w:p>
        </w:tc>
        <w:tc>
          <w:tcPr>
            <w:tcW w:w="419"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黑体" w:eastAsia="黑体" w:cs="黑体"/>
                <w:color w:val="000000"/>
                <w:kern w:val="0"/>
                <w:sz w:val="20"/>
                <w:lang w:val="en-US" w:eastAsia="zh-CN"/>
              </w:rPr>
              <w:t>调查样本有效率</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质量达标率=（质量达标产出数/实际产出数）×100%。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得分=质量达标率*分值权重</w:t>
            </w:r>
          </w:p>
        </w:tc>
        <w:tc>
          <w:tcPr>
            <w:tcW w:w="419"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kern w:val="0"/>
                <w:szCs w:val="21"/>
                <w:lang w:val="en-US" w:eastAsia="zh-CN"/>
              </w:rPr>
              <w:t>调研报告合格率</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质量达标率=（质量达标产出数/实际产出数）×100%。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得分=质量达标率*分值权重</w:t>
            </w:r>
          </w:p>
        </w:tc>
        <w:tc>
          <w:tcPr>
            <w:tcW w:w="419"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szCs w:val="22"/>
                <w:lang w:val="en-US" w:eastAsia="zh-CN"/>
              </w:rPr>
              <w:t>导游员换证合格率</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质量达标率=（质量达标产出数/实际产出数）×100%。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得分=质量达标率*分值权重</w:t>
            </w:r>
          </w:p>
        </w:tc>
        <w:tc>
          <w:tcPr>
            <w:tcW w:w="419"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黑体" w:eastAsia="黑体" w:cs="黑体"/>
                <w:color w:val="000000"/>
                <w:kern w:val="0"/>
                <w:sz w:val="20"/>
              </w:rPr>
              <w:t>自媒体宣传</w:t>
            </w:r>
            <w:r>
              <w:rPr>
                <w:rFonts w:hint="eastAsia" w:ascii="黑体" w:hAnsi="黑体" w:eastAsia="黑体" w:cs="黑体"/>
                <w:color w:val="000000"/>
                <w:kern w:val="0"/>
                <w:sz w:val="20"/>
                <w:lang w:val="en-US" w:eastAsia="zh-CN"/>
              </w:rPr>
              <w:t>政府采购率</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质量达标率=（质量达标产出数/实际产出数）×100%。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得分=质量达标率*分值权重</w:t>
            </w:r>
          </w:p>
        </w:tc>
        <w:tc>
          <w:tcPr>
            <w:tcW w:w="419"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szCs w:val="22"/>
                <w:lang w:val="en-US" w:eastAsia="zh-CN"/>
              </w:rPr>
              <w:t>建设智慧文旅指挥调度监测系统二期系统运行稳定率</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质量达标率=（质量达标产出数/实际产出数）×100%。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得分=质量达标率*分值权重</w:t>
            </w:r>
          </w:p>
        </w:tc>
        <w:tc>
          <w:tcPr>
            <w:tcW w:w="419"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送戏下乡资金支付和合同完成</w:t>
            </w:r>
          </w:p>
        </w:tc>
        <w:tc>
          <w:tcPr>
            <w:tcW w:w="415" w:type="pct"/>
            <w:shd w:val="clear" w:color="000000"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质量达标率=（质量达标产出数/实际产出数）×100%。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得分=质量达标率*分值权重</w:t>
            </w:r>
          </w:p>
        </w:tc>
        <w:tc>
          <w:tcPr>
            <w:tcW w:w="419" w:type="pct"/>
            <w:shd w:val="clear" w:color="000000" w:fill="FFFFFF"/>
            <w:noWrap w:val="0"/>
            <w:vAlign w:val="center"/>
          </w:tcPr>
          <w:p>
            <w:pPr>
              <w:widowControl/>
              <w:spacing w:line="240" w:lineRule="exact"/>
              <w:ind w:left="-63" w:leftChars="-30" w:right="-63" w:rightChars="-30"/>
              <w:jc w:val="center"/>
              <w:rPr>
                <w:rFonts w:hint="default"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eastAsia="zh-CN"/>
              </w:rPr>
            </w:pPr>
            <w:r>
              <w:rPr>
                <w:rFonts w:hint="eastAsia" w:ascii="黑体" w:hAnsi="宋体" w:eastAsia="黑体" w:cs="宋体"/>
                <w:color w:val="000000"/>
                <w:kern w:val="0"/>
                <w:sz w:val="20"/>
              </w:rPr>
              <w:t>产出时效</w:t>
            </w: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lang w:val="en-US" w:eastAsia="zh-CN"/>
              </w:rPr>
              <w:t>5分</w:t>
            </w:r>
            <w:r>
              <w:rPr>
                <w:rFonts w:hint="eastAsia" w:ascii="黑体" w:hAnsi="宋体" w:eastAsia="黑体" w:cs="宋体"/>
                <w:color w:val="000000"/>
                <w:kern w:val="0"/>
                <w:sz w:val="20"/>
                <w:lang w:eastAsia="zh-CN"/>
              </w:rPr>
              <w:t>）</w:t>
            </w:r>
          </w:p>
        </w:tc>
        <w:tc>
          <w:tcPr>
            <w:tcW w:w="703" w:type="pct"/>
            <w:shd w:val="clear" w:color="auto"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工作完成及时率</w:t>
            </w:r>
          </w:p>
        </w:tc>
        <w:tc>
          <w:tcPr>
            <w:tcW w:w="415" w:type="pct"/>
            <w:shd w:val="clear" w:color="000000"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5</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时效及时率=（时效产出数/实际产出数）×100%。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得分=时效及时率*分值权重</w:t>
            </w:r>
          </w:p>
        </w:tc>
        <w:tc>
          <w:tcPr>
            <w:tcW w:w="419"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shd w:val="clear" w:color="auto" w:fill="FFFFFF"/>
            <w:noWrap w:val="0"/>
            <w:vAlign w:val="center"/>
          </w:tcPr>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rPr>
              <w:t>产出成本</w:t>
            </w: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lang w:val="en-US" w:eastAsia="zh-CN"/>
              </w:rPr>
              <w:t>10分</w:t>
            </w:r>
            <w:r>
              <w:rPr>
                <w:rFonts w:hint="eastAsia" w:ascii="黑体" w:hAnsi="宋体" w:eastAsia="黑体" w:cs="宋体"/>
                <w:color w:val="000000"/>
                <w:kern w:val="0"/>
                <w:sz w:val="20"/>
                <w:lang w:eastAsia="zh-CN"/>
              </w:rPr>
              <w:t>）</w:t>
            </w:r>
          </w:p>
        </w:tc>
        <w:tc>
          <w:tcPr>
            <w:tcW w:w="703" w:type="pct"/>
            <w:shd w:val="clear" w:color="auto"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全年资金支付率</w:t>
            </w:r>
          </w:p>
        </w:tc>
        <w:tc>
          <w:tcPr>
            <w:tcW w:w="415" w:type="pct"/>
            <w:shd w:val="clear" w:color="000000"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10</w:t>
            </w:r>
          </w:p>
        </w:tc>
        <w:tc>
          <w:tcPr>
            <w:tcW w:w="2391" w:type="pct"/>
            <w:shd w:val="clear" w:color="000000"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全年资金支付率=（实际支出数/计划数）×100%。</w:t>
            </w:r>
          </w:p>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得分=结算率*分支权重</w:t>
            </w:r>
          </w:p>
        </w:tc>
        <w:tc>
          <w:tcPr>
            <w:tcW w:w="419" w:type="pct"/>
            <w:shd w:val="clear" w:color="000000"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restart"/>
            <w:shd w:val="clear" w:color="auto" w:fill="FFFFFF"/>
            <w:noWrap w:val="0"/>
            <w:vAlign w:val="center"/>
          </w:tcPr>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rPr>
              <w:t>效益</w:t>
            </w:r>
          </w:p>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lang w:val="en-US" w:eastAsia="zh-CN"/>
              </w:rPr>
              <w:t>25分</w:t>
            </w: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rPr>
              <w:t>　</w:t>
            </w:r>
          </w:p>
        </w:tc>
        <w:tc>
          <w:tcPr>
            <w:tcW w:w="586" w:type="pct"/>
            <w:shd w:val="clear" w:color="auto" w:fill="FFFFFF"/>
            <w:noWrap w:val="0"/>
            <w:vAlign w:val="center"/>
          </w:tcPr>
          <w:p>
            <w:pPr>
              <w:widowControl/>
              <w:spacing w:line="240" w:lineRule="exact"/>
              <w:ind w:left="-63" w:leftChars="-30" w:right="-63" w:rightChars="-30"/>
              <w:jc w:val="center"/>
              <w:rPr>
                <w:rFonts w:hint="eastAsia"/>
                <w:lang w:eastAsia="zh-CN"/>
              </w:rPr>
            </w:pPr>
            <w:r>
              <w:rPr>
                <w:rFonts w:hint="eastAsia" w:ascii="黑体" w:hAnsi="宋体" w:eastAsia="黑体" w:cs="宋体"/>
                <w:color w:val="000000"/>
                <w:kern w:val="0"/>
                <w:sz w:val="20"/>
                <w:lang w:val="en-US" w:eastAsia="zh-CN"/>
              </w:rPr>
              <w:t>经济效益</w:t>
            </w:r>
          </w:p>
        </w:tc>
        <w:tc>
          <w:tcPr>
            <w:tcW w:w="703" w:type="pct"/>
            <w:shd w:val="clear" w:color="auto" w:fill="FFFFFF"/>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无</w:t>
            </w:r>
          </w:p>
        </w:tc>
        <w:tc>
          <w:tcPr>
            <w:tcW w:w="415" w:type="pct"/>
            <w:shd w:val="clear" w:color="auto"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p>
        </w:tc>
        <w:tc>
          <w:tcPr>
            <w:tcW w:w="2391"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p>
        </w:tc>
        <w:tc>
          <w:tcPr>
            <w:tcW w:w="419" w:type="pct"/>
            <w:shd w:val="clear" w:color="auto"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restar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rPr>
              <w:t>社会效益</w:t>
            </w: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lang w:val="en-US" w:eastAsia="zh-CN"/>
              </w:rPr>
              <w:t>8分</w:t>
            </w:r>
            <w:r>
              <w:rPr>
                <w:rFonts w:hint="eastAsia" w:ascii="黑体" w:hAnsi="宋体" w:eastAsia="黑体" w:cs="宋体"/>
                <w:color w:val="000000"/>
                <w:kern w:val="0"/>
                <w:sz w:val="20"/>
                <w:lang w:eastAsia="zh-CN"/>
              </w:rPr>
              <w:t>）</w:t>
            </w:r>
          </w:p>
          <w:p>
            <w:pPr>
              <w:widowControl/>
              <w:spacing w:line="240" w:lineRule="exact"/>
              <w:jc w:val="center"/>
              <w:rPr>
                <w:rFonts w:hint="eastAsia" w:ascii="黑体" w:hAnsi="宋体" w:eastAsia="黑体" w:cs="宋体"/>
                <w:color w:val="000000"/>
                <w:kern w:val="0"/>
                <w:sz w:val="20"/>
                <w:lang w:eastAsia="zh-CN"/>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4"/>
                <w:lang w:val="en-US" w:eastAsia="zh-CN" w:bidi="ar-SA"/>
              </w:rPr>
            </w:pPr>
            <w:r>
              <w:rPr>
                <w:rFonts w:hint="eastAsia" w:ascii="黑体" w:hAnsi="宋体" w:eastAsia="黑体" w:cs="宋体"/>
                <w:color w:val="000000"/>
                <w:kern w:val="0"/>
                <w:sz w:val="20"/>
                <w:lang w:val="en-US" w:eastAsia="zh-CN"/>
              </w:rPr>
              <w:t>提高社会群众对我市文旅发展认知</w:t>
            </w:r>
          </w:p>
        </w:tc>
        <w:tc>
          <w:tcPr>
            <w:tcW w:w="415"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2</w:t>
            </w:r>
          </w:p>
        </w:tc>
        <w:tc>
          <w:tcPr>
            <w:tcW w:w="2391"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达到或超过预期值得满分，未达到预期值按比例扣分。</w:t>
            </w:r>
          </w:p>
        </w:tc>
        <w:tc>
          <w:tcPr>
            <w:tcW w:w="419" w:type="pct"/>
            <w:shd w:val="clear" w:color="auto" w:fill="FFFFFF"/>
            <w:noWrap w:val="0"/>
            <w:vAlign w:val="center"/>
          </w:tcPr>
          <w:p>
            <w:pPr>
              <w:widowControl/>
              <w:spacing w:line="240" w:lineRule="exact"/>
              <w:ind w:left="-63" w:leftChars="-30" w:right="-63" w:rightChars="-30"/>
              <w:jc w:val="center"/>
              <w:rPr>
                <w:rFonts w:hint="default"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lang w:eastAsia="zh-CN"/>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提升南昌旅游一卡通的社会影响力，群众知晓率</w:t>
            </w:r>
          </w:p>
        </w:tc>
        <w:tc>
          <w:tcPr>
            <w:tcW w:w="415" w:type="pc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2</w:t>
            </w:r>
          </w:p>
        </w:tc>
        <w:tc>
          <w:tcPr>
            <w:tcW w:w="2391"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lang w:eastAsia="zh-CN"/>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提升藏品展示效果，提高文物安保措施</w:t>
            </w:r>
          </w:p>
        </w:tc>
        <w:tc>
          <w:tcPr>
            <w:tcW w:w="415" w:type="pc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2</w:t>
            </w:r>
          </w:p>
        </w:tc>
        <w:tc>
          <w:tcPr>
            <w:tcW w:w="2391"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lang w:eastAsia="zh-CN"/>
              </w:rPr>
            </w:pPr>
          </w:p>
        </w:tc>
        <w:tc>
          <w:tcPr>
            <w:tcW w:w="703" w:type="pct"/>
            <w:shd w:val="clear" w:color="auto" w:fill="FFFFFF"/>
            <w:noWrap w:val="0"/>
            <w:vAlign w:val="center"/>
          </w:tcPr>
          <w:p>
            <w:pPr>
              <w:widowControl/>
              <w:spacing w:line="240" w:lineRule="exact"/>
              <w:ind w:left="-63" w:leftChars="-30" w:right="-63" w:rightChars="-30"/>
              <w:jc w:val="center"/>
              <w:rPr>
                <w:rFonts w:hint="default"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南昌城市品牌影响力提升</w:t>
            </w:r>
          </w:p>
        </w:tc>
        <w:tc>
          <w:tcPr>
            <w:tcW w:w="415" w:type="pct"/>
            <w:shd w:val="clear" w:color="auto" w:fill="FFFFFF"/>
            <w:noWrap w:val="0"/>
            <w:vAlign w:val="center"/>
          </w:tcPr>
          <w:p>
            <w:pPr>
              <w:widowControl/>
              <w:spacing w:line="240" w:lineRule="exact"/>
              <w:jc w:val="center"/>
              <w:rPr>
                <w:rFonts w:hint="default"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2</w:t>
            </w:r>
          </w:p>
        </w:tc>
        <w:tc>
          <w:tcPr>
            <w:tcW w:w="2391"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center"/>
              <w:rPr>
                <w:rFonts w:hint="default"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rPr>
              <w:t>生态效益</w:t>
            </w: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lang w:val="en-US" w:eastAsia="zh-CN"/>
              </w:rPr>
              <w:t>3分</w:t>
            </w:r>
            <w:r>
              <w:rPr>
                <w:rFonts w:hint="eastAsia" w:ascii="黑体" w:hAnsi="宋体" w:eastAsia="黑体" w:cs="宋体"/>
                <w:color w:val="000000"/>
                <w:kern w:val="0"/>
                <w:sz w:val="20"/>
                <w:lang w:eastAsia="zh-CN"/>
              </w:rPr>
              <w:t>）</w:t>
            </w:r>
          </w:p>
        </w:tc>
        <w:tc>
          <w:tcPr>
            <w:tcW w:w="703" w:type="pc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维修维护环保材料采用率</w:t>
            </w:r>
          </w:p>
        </w:tc>
        <w:tc>
          <w:tcPr>
            <w:tcW w:w="415" w:type="pc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3</w:t>
            </w:r>
          </w:p>
        </w:tc>
        <w:tc>
          <w:tcPr>
            <w:tcW w:w="2391"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restar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rPr>
              <w:t>可持续效益</w:t>
            </w: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lang w:val="en-US" w:eastAsia="zh-CN"/>
              </w:rPr>
              <w:t>14分</w:t>
            </w:r>
            <w:r>
              <w:rPr>
                <w:rFonts w:hint="eastAsia" w:ascii="黑体" w:hAnsi="宋体" w:eastAsia="黑体" w:cs="宋体"/>
                <w:color w:val="000000"/>
                <w:kern w:val="0"/>
                <w:sz w:val="20"/>
                <w:lang w:eastAsia="zh-CN"/>
              </w:rPr>
              <w:t>）</w:t>
            </w:r>
          </w:p>
          <w:p>
            <w:pPr>
              <w:widowControl/>
              <w:spacing w:line="240" w:lineRule="exact"/>
              <w:jc w:val="center"/>
              <w:rPr>
                <w:rFonts w:hint="eastAsia" w:ascii="黑体" w:hAnsi="宋体" w:eastAsia="黑体" w:cs="宋体"/>
                <w:color w:val="000000"/>
                <w:kern w:val="0"/>
                <w:sz w:val="20"/>
                <w:lang w:eastAsia="zh-CN"/>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持续提升我市文化旅游产业影响力</w:t>
            </w:r>
          </w:p>
        </w:tc>
        <w:tc>
          <w:tcPr>
            <w:tcW w:w="415" w:type="pc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2</w:t>
            </w:r>
          </w:p>
        </w:tc>
        <w:tc>
          <w:tcPr>
            <w:tcW w:w="2391"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lang w:eastAsia="zh-CN"/>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管理机制健全性</w:t>
            </w:r>
          </w:p>
        </w:tc>
        <w:tc>
          <w:tcPr>
            <w:tcW w:w="415" w:type="pc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2</w:t>
            </w:r>
          </w:p>
        </w:tc>
        <w:tc>
          <w:tcPr>
            <w:tcW w:w="2391"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lang w:eastAsia="zh-CN"/>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保障导游员队伍建设</w:t>
            </w:r>
          </w:p>
        </w:tc>
        <w:tc>
          <w:tcPr>
            <w:tcW w:w="415" w:type="pc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2</w:t>
            </w:r>
          </w:p>
        </w:tc>
        <w:tc>
          <w:tcPr>
            <w:tcW w:w="2391"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lang w:eastAsia="zh-CN"/>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Cs w:val="21"/>
                <w:lang w:val="en-US" w:eastAsia="zh-CN"/>
              </w:rPr>
              <w:t>游客观赏能力显著提升</w:t>
            </w:r>
          </w:p>
        </w:tc>
        <w:tc>
          <w:tcPr>
            <w:tcW w:w="415" w:type="pc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2</w:t>
            </w:r>
          </w:p>
        </w:tc>
        <w:tc>
          <w:tcPr>
            <w:tcW w:w="2391"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lang w:eastAsia="zh-CN"/>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rPr>
              <w:t>不断促进文化和旅游消费热情</w:t>
            </w:r>
          </w:p>
        </w:tc>
        <w:tc>
          <w:tcPr>
            <w:tcW w:w="415" w:type="pc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2</w:t>
            </w:r>
          </w:p>
        </w:tc>
        <w:tc>
          <w:tcPr>
            <w:tcW w:w="2391"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lang w:eastAsia="zh-CN"/>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Cs w:val="21"/>
                <w:lang w:val="en-US" w:eastAsia="zh-CN"/>
              </w:rPr>
              <w:t>促进了非国有博物馆事业持续发展</w:t>
            </w:r>
          </w:p>
        </w:tc>
        <w:tc>
          <w:tcPr>
            <w:tcW w:w="415" w:type="pc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2</w:t>
            </w:r>
          </w:p>
        </w:tc>
        <w:tc>
          <w:tcPr>
            <w:tcW w:w="2391"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lang w:eastAsia="zh-CN"/>
              </w:rPr>
            </w:pPr>
          </w:p>
        </w:tc>
        <w:tc>
          <w:tcPr>
            <w:tcW w:w="703" w:type="pct"/>
            <w:shd w:val="clear" w:color="auto" w:fill="FFFFFF"/>
            <w:noWrap w:val="0"/>
            <w:vAlign w:val="center"/>
          </w:tcPr>
          <w:p>
            <w:pPr>
              <w:widowControl/>
              <w:spacing w:line="240" w:lineRule="exact"/>
              <w:ind w:left="-63" w:leftChars="-30" w:right="-63" w:rightChars="-30"/>
              <w:jc w:val="center"/>
              <w:rPr>
                <w:rFonts w:hint="default"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持续保障基本公共文化服务</w:t>
            </w:r>
          </w:p>
        </w:tc>
        <w:tc>
          <w:tcPr>
            <w:tcW w:w="415" w:type="pct"/>
            <w:shd w:val="clear" w:color="auto" w:fill="FFFFFF"/>
            <w:noWrap w:val="0"/>
            <w:vAlign w:val="center"/>
          </w:tcPr>
          <w:p>
            <w:pPr>
              <w:widowControl/>
              <w:spacing w:line="240" w:lineRule="exact"/>
              <w:jc w:val="center"/>
              <w:rPr>
                <w:rFonts w:hint="default"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2</w:t>
            </w:r>
          </w:p>
        </w:tc>
        <w:tc>
          <w:tcPr>
            <w:tcW w:w="2391"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center"/>
              <w:rPr>
                <w:rFonts w:hint="default"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restart"/>
            <w:shd w:val="clear" w:color="auto" w:fill="FFFFFF"/>
            <w:noWrap w:val="0"/>
            <w:vAlign w:val="center"/>
          </w:tcPr>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rPr>
              <w:t>满意度</w:t>
            </w:r>
          </w:p>
          <w:p>
            <w:pPr>
              <w:widowControl/>
              <w:spacing w:line="240" w:lineRule="exact"/>
              <w:jc w:val="center"/>
              <w:rPr>
                <w:rFonts w:hint="eastAsia" w:ascii="黑体" w:hAnsi="宋体" w:eastAsia="黑体" w:cs="宋体"/>
                <w:color w:val="000000"/>
                <w:kern w:val="0"/>
                <w:sz w:val="20"/>
                <w:lang w:eastAsia="zh-CN"/>
              </w:rPr>
            </w:pP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lang w:val="en-US" w:eastAsia="zh-CN"/>
              </w:rPr>
              <w:t>10分</w:t>
            </w:r>
            <w:r>
              <w:rPr>
                <w:rFonts w:hint="eastAsia" w:ascii="黑体" w:hAnsi="宋体" w:eastAsia="黑体" w:cs="宋体"/>
                <w:color w:val="000000"/>
                <w:kern w:val="0"/>
                <w:sz w:val="20"/>
                <w:lang w:eastAsia="zh-CN"/>
              </w:rPr>
              <w:t>）</w:t>
            </w:r>
          </w:p>
        </w:tc>
        <w:tc>
          <w:tcPr>
            <w:tcW w:w="586" w:type="pct"/>
            <w:vMerge w:val="restar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rPr>
              <w:t>社会公众或服务对象满意度</w:t>
            </w: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lang w:val="en-US" w:eastAsia="zh-CN"/>
              </w:rPr>
              <w:t>10分</w:t>
            </w:r>
            <w:r>
              <w:rPr>
                <w:rFonts w:hint="eastAsia" w:ascii="黑体" w:hAnsi="宋体" w:eastAsia="黑体" w:cs="宋体"/>
                <w:color w:val="000000"/>
                <w:kern w:val="0"/>
                <w:sz w:val="20"/>
                <w:lang w:eastAsia="zh-CN"/>
              </w:rPr>
              <w:t>）</w:t>
            </w:r>
          </w:p>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观众满意度</w:t>
            </w:r>
          </w:p>
        </w:tc>
        <w:tc>
          <w:tcPr>
            <w:tcW w:w="415" w:type="pc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4</w:t>
            </w:r>
          </w:p>
        </w:tc>
        <w:tc>
          <w:tcPr>
            <w:tcW w:w="2391"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lang w:eastAsia="zh-CN"/>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游客满意度</w:t>
            </w:r>
          </w:p>
        </w:tc>
        <w:tc>
          <w:tcPr>
            <w:tcW w:w="415" w:type="pc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3</w:t>
            </w:r>
          </w:p>
        </w:tc>
        <w:tc>
          <w:tcPr>
            <w:tcW w:w="2391"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4"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lang w:eastAsia="zh-CN"/>
              </w:rPr>
            </w:pPr>
          </w:p>
        </w:tc>
        <w:tc>
          <w:tcPr>
            <w:tcW w:w="586" w:type="pct"/>
            <w:vMerge w:val="continue"/>
            <w:shd w:val="clear" w:color="auto" w:fill="FFFFFF"/>
            <w:noWrap w:val="0"/>
            <w:vAlign w:val="center"/>
          </w:tcPr>
          <w:p>
            <w:pPr>
              <w:widowControl/>
              <w:spacing w:line="240" w:lineRule="exact"/>
              <w:jc w:val="center"/>
              <w:rPr>
                <w:rFonts w:hint="eastAsia" w:ascii="黑体" w:hAnsi="宋体" w:eastAsia="黑体" w:cs="宋体"/>
                <w:color w:val="000000"/>
                <w:kern w:val="0"/>
                <w:sz w:val="20"/>
              </w:rPr>
            </w:pPr>
          </w:p>
        </w:tc>
        <w:tc>
          <w:tcPr>
            <w:tcW w:w="703" w:type="pct"/>
            <w:shd w:val="clear" w:color="auto" w:fill="FFFFFF"/>
            <w:noWrap w:val="0"/>
            <w:vAlign w:val="center"/>
          </w:tcPr>
          <w:p>
            <w:pPr>
              <w:widowControl/>
              <w:spacing w:line="240" w:lineRule="exact"/>
              <w:ind w:left="-63" w:leftChars="-30" w:right="-63" w:rightChars="-30"/>
              <w:jc w:val="center"/>
              <w:rPr>
                <w:rFonts w:hint="default"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群众满意度</w:t>
            </w:r>
          </w:p>
        </w:tc>
        <w:tc>
          <w:tcPr>
            <w:tcW w:w="415" w:type="pct"/>
            <w:shd w:val="clear" w:color="auto" w:fill="FFFFFF"/>
            <w:noWrap w:val="0"/>
            <w:vAlign w:val="center"/>
          </w:tcPr>
          <w:p>
            <w:pPr>
              <w:widowControl/>
              <w:spacing w:line="240" w:lineRule="exact"/>
              <w:jc w:val="center"/>
              <w:rPr>
                <w:rFonts w:hint="default"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3</w:t>
            </w:r>
          </w:p>
        </w:tc>
        <w:tc>
          <w:tcPr>
            <w:tcW w:w="2391" w:type="pct"/>
            <w:shd w:val="clear" w:color="auto" w:fill="FFFFFF"/>
            <w:noWrap w:val="0"/>
            <w:vAlign w:val="center"/>
          </w:tcPr>
          <w:p>
            <w:pPr>
              <w:widowControl/>
              <w:spacing w:line="240" w:lineRule="exact"/>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center"/>
              <w:rPr>
                <w:rFonts w:hint="default"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580" w:type="pct"/>
            <w:gridSpan w:val="5"/>
            <w:shd w:val="clear" w:color="auto" w:fill="FFFFFF"/>
            <w:noWrap w:val="0"/>
            <w:vAlign w:val="center"/>
          </w:tcPr>
          <w:p>
            <w:pPr>
              <w:widowControl/>
              <w:spacing w:line="240" w:lineRule="exact"/>
              <w:jc w:val="center"/>
              <w:rPr>
                <w:rFonts w:hint="eastAsia" w:ascii="黑体" w:hAnsi="宋体" w:eastAsia="黑体" w:cs="宋体"/>
                <w:color w:val="000000"/>
                <w:kern w:val="0"/>
                <w:sz w:val="20"/>
              </w:rPr>
            </w:pPr>
            <w:r>
              <w:rPr>
                <w:rFonts w:hint="eastAsia" w:ascii="黑体" w:hAnsi="宋体" w:eastAsia="黑体" w:cs="宋体"/>
                <w:color w:val="000000"/>
                <w:kern w:val="0"/>
                <w:sz w:val="20"/>
              </w:rPr>
              <w:t>总分</w:t>
            </w:r>
          </w:p>
        </w:tc>
        <w:tc>
          <w:tcPr>
            <w:tcW w:w="419" w:type="pct"/>
            <w:shd w:val="clear" w:color="auto" w:fill="FFFFFF"/>
            <w:noWrap w:val="0"/>
            <w:vAlign w:val="center"/>
          </w:tcPr>
          <w:p>
            <w:pPr>
              <w:widowControl/>
              <w:spacing w:line="240" w:lineRule="exact"/>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93.98</w:t>
            </w:r>
          </w:p>
        </w:tc>
      </w:tr>
    </w:tbl>
    <w:p>
      <w:pPr>
        <w:pStyle w:val="8"/>
        <w:rPr>
          <w:rFonts w:hint="eastAsia" w:ascii="仿宋_GB2312" w:hAnsi="仿宋_GB2312" w:eastAsia="仿宋_GB2312" w:cs="仿宋_GB2312"/>
          <w:sz w:val="32"/>
          <w:szCs w:val="32"/>
        </w:rPr>
      </w:pPr>
    </w:p>
    <w:p>
      <w:pPr>
        <w:tabs>
          <w:tab w:val="left" w:pos="3349"/>
        </w:tabs>
        <w:bidi w:val="0"/>
        <w:jc w:val="left"/>
        <w:rPr>
          <w:lang w:val="en-US" w:eastAsia="zh-CN"/>
        </w:rPr>
      </w:pPr>
    </w:p>
    <w:sectPr>
      <w:headerReference r:id="rId3" w:type="default"/>
      <w:footerReference r:id="rId5" w:type="default"/>
      <w:headerReference r:id="rId4" w:type="even"/>
      <w:pgSz w:w="11906" w:h="16838"/>
      <w:pgMar w:top="1134" w:right="1134" w:bottom="1134" w:left="113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19 -</w:t>
    </w:r>
    <w:r>
      <w:rPr>
        <w:sz w:val="28"/>
        <w:szCs w:val="28"/>
      </w:rPr>
      <w:fldChar w:fldCharType="end"/>
    </w:r>
  </w:p>
  <w:p>
    <w:pPr>
      <w:pStyle w:val="9"/>
      <w:ind w:left="5250" w:right="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2A1392"/>
    <w:multiLevelType w:val="singleLevel"/>
    <w:tmpl w:val="B02A1392"/>
    <w:lvl w:ilvl="0" w:tentative="0">
      <w:start w:val="2"/>
      <w:numFmt w:val="decimal"/>
      <w:suff w:val="nothing"/>
      <w:lvlText w:val="%1、"/>
      <w:lvlJc w:val="left"/>
    </w:lvl>
  </w:abstractNum>
  <w:abstractNum w:abstractNumId="1">
    <w:nsid w:val="E6E48AB5"/>
    <w:multiLevelType w:val="singleLevel"/>
    <w:tmpl w:val="E6E48AB5"/>
    <w:lvl w:ilvl="0" w:tentative="0">
      <w:start w:val="2"/>
      <w:numFmt w:val="chineseCounting"/>
      <w:suff w:val="nothing"/>
      <w:lvlText w:val="（%1）"/>
      <w:lvlJc w:val="left"/>
      <w:pPr>
        <w:ind w:left="-10"/>
      </w:pPr>
      <w:rPr>
        <w:rFonts w:hint="eastAsia"/>
      </w:rPr>
    </w:lvl>
  </w:abstractNum>
  <w:abstractNum w:abstractNumId="2">
    <w:nsid w:val="0DFF86D9"/>
    <w:multiLevelType w:val="singleLevel"/>
    <w:tmpl w:val="0DFF86D9"/>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iNGViMDVmNTA0OTI4OTU2NTdhYWExYTdiNGVkYWQifQ=="/>
  </w:docVars>
  <w:rsids>
    <w:rsidRoot w:val="1F686674"/>
    <w:rsid w:val="03453CFD"/>
    <w:rsid w:val="04E93913"/>
    <w:rsid w:val="07FB6375"/>
    <w:rsid w:val="08C3178C"/>
    <w:rsid w:val="0A134703"/>
    <w:rsid w:val="0B04049C"/>
    <w:rsid w:val="0BE2765E"/>
    <w:rsid w:val="0C7C5151"/>
    <w:rsid w:val="1A767643"/>
    <w:rsid w:val="1C342C49"/>
    <w:rsid w:val="1CC3776B"/>
    <w:rsid w:val="1E4C63A3"/>
    <w:rsid w:val="1EBA7FF0"/>
    <w:rsid w:val="1F0F6BC6"/>
    <w:rsid w:val="1F686674"/>
    <w:rsid w:val="231C273D"/>
    <w:rsid w:val="27D132FF"/>
    <w:rsid w:val="284C3D93"/>
    <w:rsid w:val="2F1C6F4C"/>
    <w:rsid w:val="30B94F7A"/>
    <w:rsid w:val="322D3D6A"/>
    <w:rsid w:val="3A8D69BC"/>
    <w:rsid w:val="3F4DABC8"/>
    <w:rsid w:val="3FFFC261"/>
    <w:rsid w:val="402F0833"/>
    <w:rsid w:val="40345447"/>
    <w:rsid w:val="41686C33"/>
    <w:rsid w:val="49DB1F21"/>
    <w:rsid w:val="4A680CFC"/>
    <w:rsid w:val="4EC51446"/>
    <w:rsid w:val="5BA01354"/>
    <w:rsid w:val="5E2F2E7A"/>
    <w:rsid w:val="5EFE3011"/>
    <w:rsid w:val="5FEF322B"/>
    <w:rsid w:val="618718EE"/>
    <w:rsid w:val="648F204A"/>
    <w:rsid w:val="66BF5FF7"/>
    <w:rsid w:val="69EE6882"/>
    <w:rsid w:val="73DBB757"/>
    <w:rsid w:val="78857244"/>
    <w:rsid w:val="79B853F7"/>
    <w:rsid w:val="7ABA2222"/>
    <w:rsid w:val="7B481CA1"/>
    <w:rsid w:val="7E0854BA"/>
    <w:rsid w:val="F953E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5"/>
    <w:autoRedefine/>
    <w:qFormat/>
    <w:uiPriority w:val="0"/>
    <w:pPr>
      <w:keepNext/>
      <w:keepLines/>
      <w:spacing w:before="260" w:after="260" w:line="415" w:lineRule="auto"/>
      <w:outlineLvl w:val="1"/>
    </w:pPr>
    <w:rPr>
      <w:rFonts w:ascii="Arial" w:hAnsi="Arial" w:eastAsia="黑体"/>
      <w:b/>
      <w:bCs/>
      <w:sz w:val="32"/>
      <w:szCs w:val="32"/>
    </w:rPr>
  </w:style>
  <w:style w:type="character" w:default="1" w:styleId="15">
    <w:name w:val="Default Paragraph Font"/>
    <w:autoRedefine/>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BodyText1I2"/>
    <w:basedOn w:val="3"/>
    <w:qFormat/>
    <w:uiPriority w:val="0"/>
    <w:pPr>
      <w:spacing w:after="120"/>
      <w:ind w:left="420" w:leftChars="200" w:firstLine="420" w:firstLineChars="200"/>
      <w:jc w:val="both"/>
      <w:textAlignment w:val="baseline"/>
    </w:pPr>
    <w:rPr>
      <w:rFonts w:ascii="Calibri" w:hAnsi="Calibri"/>
      <w:kern w:val="2"/>
      <w:sz w:val="21"/>
      <w:szCs w:val="24"/>
    </w:rPr>
  </w:style>
  <w:style w:type="paragraph" w:customStyle="1" w:styleId="3">
    <w:name w:val="BodyTextIndent"/>
    <w:basedOn w:val="1"/>
    <w:qFormat/>
    <w:uiPriority w:val="0"/>
    <w:pPr>
      <w:spacing w:after="120"/>
      <w:ind w:left="420" w:leftChars="200"/>
      <w:jc w:val="both"/>
      <w:textAlignment w:val="baseline"/>
    </w:pPr>
  </w:style>
  <w:style w:type="paragraph" w:styleId="5">
    <w:name w:val="Normal Indent"/>
    <w:basedOn w:val="1"/>
    <w:qFormat/>
    <w:uiPriority w:val="99"/>
    <w:rPr>
      <w:kern w:val="0"/>
      <w:sz w:val="24"/>
    </w:rPr>
  </w:style>
  <w:style w:type="paragraph" w:styleId="6">
    <w:name w:val="Body Text"/>
    <w:basedOn w:val="1"/>
    <w:qFormat/>
    <w:uiPriority w:val="0"/>
    <w:pPr>
      <w:spacing w:after="120"/>
    </w:pPr>
  </w:style>
  <w:style w:type="paragraph" w:styleId="7">
    <w:name w:val="Body Text Indent"/>
    <w:basedOn w:val="1"/>
    <w:qFormat/>
    <w:uiPriority w:val="0"/>
    <w:pPr>
      <w:adjustRightInd w:val="0"/>
      <w:snapToGrid w:val="0"/>
      <w:spacing w:line="560" w:lineRule="atLeast"/>
      <w:ind w:firstLine="640" w:firstLineChars="200"/>
    </w:pPr>
    <w:rPr>
      <w:rFonts w:eastAsia="仿宋_GB2312"/>
      <w:kern w:val="0"/>
      <w:sz w:val="32"/>
      <w:szCs w:val="28"/>
    </w:rPr>
  </w:style>
  <w:style w:type="paragraph" w:styleId="8">
    <w:name w:val="Plain Text"/>
    <w:basedOn w:val="1"/>
    <w:qFormat/>
    <w:uiPriority w:val="99"/>
    <w:rPr>
      <w:rFonts w:ascii="宋体" w:hAnsi="Courier New" w:cs="Courier New"/>
      <w:szCs w:val="21"/>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Body Text First Indent"/>
    <w:basedOn w:val="6"/>
    <w:qFormat/>
    <w:uiPriority w:val="99"/>
    <w:pPr>
      <w:ind w:firstLine="420" w:firstLineChars="100"/>
    </w:p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List Paragraph"/>
    <w:basedOn w:val="1"/>
    <w:autoRedefine/>
    <w:qFormat/>
    <w:uiPriority w:val="0"/>
    <w:pPr>
      <w:ind w:firstLine="420" w:firstLineChars="200"/>
    </w:pPr>
  </w:style>
  <w:style w:type="paragraph" w:customStyle="1" w:styleId="17">
    <w:name w:val="PlainText"/>
    <w:basedOn w:val="1"/>
    <w:autoRedefine/>
    <w:qFormat/>
    <w:uiPriority w:val="0"/>
    <w:rPr>
      <w:rFonts w:ascii="宋体" w:hAnsi="Courier New"/>
      <w:szCs w:val="21"/>
    </w:rPr>
  </w:style>
  <w:style w:type="character" w:customStyle="1" w:styleId="18">
    <w:name w:val="font01"/>
    <w:basedOn w:val="1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41</Pages>
  <Words>28012</Words>
  <Characters>29614</Characters>
  <Lines>0</Lines>
  <Paragraphs>0</Paragraphs>
  <TotalTime>17</TotalTime>
  <ScaleCrop>false</ScaleCrop>
  <LinksUpToDate>false</LinksUpToDate>
  <CharactersWithSpaces>30050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2022-05-25T02:39:00Z</dcterms:created>
  <dc:creator>用友刘志超15070895960</dc:creator>
  <cp:lastModifiedBy>WPS_1683705791</cp:lastModifiedBy>
  <cp:lastPrinted>2022-09-26T10:42:00Z</cp:lastPrinted>
  <dcterms:modified xsi:type="dcterms:W3CDTF">2024-03-29T02:13:22Z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4A63E14B230F428CBF3D609B027C88AB</vt:lpwstr>
  </property>
</Properties>
</file>