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附件:</w:t>
      </w:r>
    </w:p>
    <w:p>
      <w:pPr>
        <w:spacing w:line="50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项目支出绩效自评表</w:t>
      </w:r>
    </w:p>
    <w:p>
      <w:pPr>
        <w:spacing w:line="500" w:lineRule="exact"/>
        <w:jc w:val="center"/>
        <w:rPr>
          <w:rFonts w:ascii="方正小标宋简体" w:hAnsi="黑体" w:eastAsia="方正小标宋简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Cs w:val="21"/>
        </w:rPr>
        <w:t>（</w:t>
      </w:r>
      <w:r>
        <w:rPr>
          <w:rFonts w:ascii="黑体" w:hAnsi="宋体" w:eastAsia="黑体" w:cs="宋体"/>
          <w:color w:val="000000"/>
          <w:kern w:val="0"/>
          <w:szCs w:val="21"/>
        </w:rPr>
        <w:t>2021</w:t>
      </w:r>
      <w:r>
        <w:rPr>
          <w:rFonts w:hint="eastAsia" w:ascii="黑体" w:hAnsi="宋体" w:eastAsia="黑体" w:cs="宋体"/>
          <w:color w:val="000000"/>
          <w:kern w:val="0"/>
          <w:szCs w:val="21"/>
        </w:rPr>
        <w:t>年度）</w:t>
      </w:r>
    </w:p>
    <w:tbl>
      <w:tblPr>
        <w:tblStyle w:val="6"/>
        <w:tblW w:w="90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976"/>
        <w:gridCol w:w="1417"/>
        <w:gridCol w:w="567"/>
        <w:gridCol w:w="1134"/>
        <w:gridCol w:w="284"/>
        <w:gridCol w:w="863"/>
        <w:gridCol w:w="412"/>
        <w:gridCol w:w="347"/>
        <w:gridCol w:w="331"/>
        <w:gridCol w:w="201"/>
        <w:gridCol w:w="360"/>
        <w:gridCol w:w="321"/>
        <w:gridCol w:w="425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747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文化旅游发展专项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主管部门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南昌市文化广电新闻出版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kern w:val="0"/>
                <w:szCs w:val="21"/>
              </w:rPr>
              <w:t>旅游局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实施单位</w:t>
            </w:r>
          </w:p>
        </w:tc>
        <w:tc>
          <w:tcPr>
            <w:tcW w:w="28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南昌市文化广电新闻出版旅游局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项目资金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（万元）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年初预算数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全年预算数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全年执行数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分值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执行率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5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8800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8800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4838.61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10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54.98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8800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8800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4838.61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—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54.98%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5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—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5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—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5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年度总体目标</w:t>
            </w:r>
          </w:p>
        </w:tc>
        <w:tc>
          <w:tcPr>
            <w:tcW w:w="43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预期目标</w:t>
            </w:r>
          </w:p>
        </w:tc>
        <w:tc>
          <w:tcPr>
            <w:tcW w:w="40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8" w:hRule="exact"/>
          <w:jc w:val="center"/>
        </w:trPr>
        <w:tc>
          <w:tcPr>
            <w:tcW w:w="5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43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加大政策的扶持力度，制定出台各类文化和旅游政策性文件集成“政策工具包”；启动公共图书馆服务体系建设，开展各类文化惠民活动，助推夜经济发展和城市旅游；深化文艺院团改革，实施文艺精品计划，实施文艺汇演行动；实施文旅融合示范工程，注重招大引强引智；建设旅游中心城市，建设全要素文旅商圈，点亮夜间文旅经济，打造品牌节事活动，构建城市礼物体系；加大城市宣传力度，打造城市形象推广标识系统，唱响城市品牌，加大旅游推介。</w:t>
            </w:r>
          </w:p>
        </w:tc>
        <w:tc>
          <w:tcPr>
            <w:tcW w:w="40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both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1、为庆祝“建党百年华诞”为主题，开展了一系列建党百年献礼活动，唱响党的颂歌，献礼党的华诞；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2、根据全市“十四五”规划工作会议精神，充分发扬民主、开门问策、集思广益，先后召开规划评审会议十余次（不含赴县区及社会调研），向社会公开收集意见和建议753条，修改规划文本共计600余科，覆盖各方面意见和建议456条，准确把握文旅融合背景下的新机遇、新挑战、新任务、新目标；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3、主题创作成果丰硕，创作采茶戏剧本，组织画家开展采风活动，举办各类会展，举办“脱贫感党恩 奋进新征程——送戏下乡文艺汇演”，深入乡村巡回慰问演出10场，受到群众的热烈欢迎，促进了南昌采茶戏的传承发展；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4、公共文化服务设施开放，组织开展了“让书香飘满洪城”第二届全城共读活动、第十一届“读好书”活动等全民阅读活动303场次，服务市民读者逾121万人次；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5、继续加强文物保护利用工作，促进博物馆事业高质量发展，进一步完善非遗代表性名录体系；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6、出台若干促进旅游产业发展的政策，计划引进重点文旅头部企业19家，助力我市文旅企业发展；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7、在原有“南昌旅游一卡通”旅游景区对持卡人免费的基础上，采取政府补贴的形式，增加演艺、影院、书店等文化企业对持卡人免费或优惠的政策，使旅游一卡通增加文化服务内容，扩大消费覆盖面，推动文旅市场消费复苏；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8、加强红色旅游发展，打造红色旅游精品线路，我市申报“英雄城·红色城”精品线路，开展“传承红色基因 培育时代新人”红色旅游进校园系列活动、“红色讲解员讲党史”宣讲活动等；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9、加快数字文旅建设，通过大数据技术，实时采集数据，完成南昌智慧文旅指挥调度监测系统建设；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10、在南昌电视台、南昌日报等主要媒体设立“千年豫章郡 天下英雄城”文旅专版（专栏），抢占微信公众号、抖音快手等头部新媒体平台，以创意短视频的形式，打造南昌文旅“新热点”“新看点”；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11、深入开展文化和旅游市场专项执法检查整治行动，保障文旅市场环境的平稳有序；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5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绩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指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标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一级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二级指标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三级指标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年度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指标值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实际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分值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得分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(50分）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数量指标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（20分）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文旅宣传推广工作12项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83.33%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1.68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文旅政策兑现奖励10项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90%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0.9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 xml:space="preserve">文旅公共服务及活动 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10项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建党100周年活动3类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文旅公共服务设施建设 5项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文物保护与利用工作3项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优秀艺术作品创作5个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80%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0.8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文旅行业人才培训2期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全市现场抽样调查样本8000份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形成调研报告3阶段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购买导游卡1200套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开展自媒体宣传项目1次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2"/>
                <w:lang w:val="en-US" w:eastAsia="zh-CN"/>
              </w:rPr>
              <w:t>建设智慧文旅指挥调度监测系统二期一项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送戏下乡资金支付完成率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质量指标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（15分）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文旅宣传推广招投标合规率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文旅政策奖励兑现符合标准率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文旅公共服务演出活动上座率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建党100周年活动观众上座率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文旅公共服务设施建设验收合格率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文物保护与利用合格率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优秀艺术作品创作演出成功率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2"/>
                <w:lang w:val="en-US" w:eastAsia="zh-CN" w:bidi="ar-SA"/>
              </w:rPr>
              <w:t>培训合格率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调查样本有效率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调研报告合格率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2"/>
                <w:lang w:val="en-US" w:eastAsia="zh-CN"/>
              </w:rPr>
              <w:t>导游员换证合格率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自媒体宣传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政府采购率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2"/>
                <w:lang w:val="en-US" w:eastAsia="zh-CN"/>
              </w:rPr>
              <w:t>建设智慧文旅指挥调度监测系统二期系统运行稳定率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送戏下乡资金支付和合同完成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时效指标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工作完成及时率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成本指标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（10分）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全年资金支付率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54.98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5.5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(30分）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经济效益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社会效益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提高社会群众对我市文旅发展认知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提高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提高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提升南昌旅游一卡通的社会影响力，群众知晓率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提升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提升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提升藏品展示效果，提高文物安保措施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提升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提升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南昌城市品牌影响力提升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提升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提升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环境效益（5分）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维修维护环保材料采用率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可持续影响指标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（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持续提升我市文化旅游产业影响力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管理机制健全性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保障导游员队伍建设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游客观赏能力显著提升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不断促进文化和旅游消费热情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促进了非国有博物馆事业持续发展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持续保障基本公共文化服务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满意度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(10分）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服务对象满意度指标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（10分）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观众满意度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9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5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9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8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游客满意度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9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5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9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8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群众满意度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9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5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9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8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65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90.38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VmYWU1OThmNTM4MmMyMzUzYTYzMzZmOWU1NGQzMTAifQ=="/>
  </w:docVars>
  <w:rsids>
    <w:rsidRoot w:val="00785AFA"/>
    <w:rsid w:val="0004446E"/>
    <w:rsid w:val="00056003"/>
    <w:rsid w:val="000A22A3"/>
    <w:rsid w:val="000A540F"/>
    <w:rsid w:val="00100BA1"/>
    <w:rsid w:val="00117C66"/>
    <w:rsid w:val="00136395"/>
    <w:rsid w:val="002134A3"/>
    <w:rsid w:val="0027004A"/>
    <w:rsid w:val="0035474D"/>
    <w:rsid w:val="003674A8"/>
    <w:rsid w:val="00391034"/>
    <w:rsid w:val="003D3450"/>
    <w:rsid w:val="00456B88"/>
    <w:rsid w:val="004756F9"/>
    <w:rsid w:val="00517B70"/>
    <w:rsid w:val="00525D18"/>
    <w:rsid w:val="00586CFC"/>
    <w:rsid w:val="005E5E5D"/>
    <w:rsid w:val="005E690A"/>
    <w:rsid w:val="00643372"/>
    <w:rsid w:val="006B67AD"/>
    <w:rsid w:val="0071135B"/>
    <w:rsid w:val="00761014"/>
    <w:rsid w:val="0076243D"/>
    <w:rsid w:val="00785AFA"/>
    <w:rsid w:val="00791B7E"/>
    <w:rsid w:val="007E73E6"/>
    <w:rsid w:val="00856F79"/>
    <w:rsid w:val="008968A4"/>
    <w:rsid w:val="00964A68"/>
    <w:rsid w:val="00971AAD"/>
    <w:rsid w:val="00AE43FB"/>
    <w:rsid w:val="00AE7228"/>
    <w:rsid w:val="00BB55B1"/>
    <w:rsid w:val="00BC0621"/>
    <w:rsid w:val="00C47601"/>
    <w:rsid w:val="00CC07AB"/>
    <w:rsid w:val="00D96A4F"/>
    <w:rsid w:val="00DA699C"/>
    <w:rsid w:val="00DB3CEF"/>
    <w:rsid w:val="00DE3F31"/>
    <w:rsid w:val="00DE5615"/>
    <w:rsid w:val="00E02A49"/>
    <w:rsid w:val="00EC43C4"/>
    <w:rsid w:val="00EC5AA1"/>
    <w:rsid w:val="00EE4D65"/>
    <w:rsid w:val="00F87C9F"/>
    <w:rsid w:val="00FC7D2E"/>
    <w:rsid w:val="1F114EEF"/>
    <w:rsid w:val="2DB620AB"/>
    <w:rsid w:val="302C7D06"/>
    <w:rsid w:val="554470FE"/>
    <w:rsid w:val="57171EAE"/>
    <w:rsid w:val="575779BC"/>
    <w:rsid w:val="597B943D"/>
    <w:rsid w:val="630C1E6E"/>
    <w:rsid w:val="67995EBD"/>
    <w:rsid w:val="6C735654"/>
    <w:rsid w:val="703A0BE3"/>
    <w:rsid w:val="737010CF"/>
    <w:rsid w:val="BEFF8AF7"/>
    <w:rsid w:val="EEB4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 w:firstLineChars="200"/>
      <w:jc w:val="both"/>
      <w:textAlignment w:val="baseline"/>
    </w:pPr>
    <w:rPr>
      <w:rFonts w:ascii="Calibri" w:hAnsi="Calibri"/>
      <w:kern w:val="2"/>
      <w:sz w:val="21"/>
      <w:szCs w:val="24"/>
    </w:r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1988</Words>
  <Characters>2327</Characters>
  <Lines>7</Lines>
  <Paragraphs>2</Paragraphs>
  <TotalTime>7</TotalTime>
  <ScaleCrop>false</ScaleCrop>
  <LinksUpToDate>false</LinksUpToDate>
  <CharactersWithSpaces>2340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2022-05-12T16:28:00Z</dcterms:created>
  <dc:creator>lun</dc:creator>
  <cp:lastModifiedBy>kylin</cp:lastModifiedBy>
  <cp:lastPrinted>2022-09-26T10:43:38Z</cp:lastPrinted>
  <dcterms:modified xsi:type="dcterms:W3CDTF">2022-09-26T11:19:11Z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A1858D816A234798B82468C4FB831C47</vt:lpwstr>
  </property>
</Properties>
</file>