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97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12"/>
                <w:rFonts w:hint="eastAsia" w:ascii="宋体" w:hAnsi="宋体" w:eastAsia="宋体" w:cs="宋体"/>
                <w:i w:val="0"/>
                <w:iCs w:val="0"/>
                <w:caps w:val="0"/>
                <w:color w:val="333333"/>
                <w:spacing w:val="0"/>
                <w:sz w:val="36"/>
                <w:szCs w:val="36"/>
                <w:bdr w:val="none" w:color="auto" w:sz="0" w:space="0"/>
              </w:rPr>
              <w:t>国务院关于建立完善</w:t>
            </w:r>
            <w:r>
              <w:rPr>
                <w:rStyle w:val="12"/>
                <w:rFonts w:hint="eastAsia" w:ascii="宋体" w:hAnsi="宋体" w:eastAsia="宋体" w:cs="宋体"/>
                <w:i w:val="0"/>
                <w:iCs w:val="0"/>
                <w:caps w:val="0"/>
                <w:color w:val="333333"/>
                <w:spacing w:val="0"/>
                <w:sz w:val="36"/>
                <w:szCs w:val="36"/>
                <w:bdr w:val="none" w:color="auto" w:sz="0" w:space="0"/>
              </w:rPr>
              <w:br w:type="textWrapping"/>
            </w:r>
            <w:r>
              <w:rPr>
                <w:rStyle w:val="12"/>
                <w:rFonts w:hint="eastAsia" w:ascii="宋体" w:hAnsi="宋体" w:eastAsia="宋体" w:cs="宋体"/>
                <w:i w:val="0"/>
                <w:iCs w:val="0"/>
                <w:caps w:val="0"/>
                <w:color w:val="333333"/>
                <w:spacing w:val="0"/>
                <w:sz w:val="36"/>
                <w:szCs w:val="36"/>
                <w:bdr w:val="none" w:color="auto" w:sz="0" w:space="0"/>
              </w:rPr>
              <w:t>守信联合激励和失信联合惩戒制度</w:t>
            </w:r>
            <w:r>
              <w:rPr>
                <w:rStyle w:val="12"/>
                <w:rFonts w:hint="eastAsia" w:ascii="宋体" w:hAnsi="宋体" w:eastAsia="宋体" w:cs="宋体"/>
                <w:i w:val="0"/>
                <w:iCs w:val="0"/>
                <w:caps w:val="0"/>
                <w:color w:val="333333"/>
                <w:spacing w:val="0"/>
                <w:sz w:val="36"/>
                <w:szCs w:val="36"/>
                <w:bdr w:val="none" w:color="auto" w:sz="0" w:space="0"/>
              </w:rPr>
              <w:br w:type="textWrapping"/>
            </w:r>
            <w:r>
              <w:rPr>
                <w:rStyle w:val="12"/>
                <w:rFonts w:hint="eastAsia" w:ascii="宋体" w:hAnsi="宋体" w:eastAsia="宋体" w:cs="宋体"/>
                <w:i w:val="0"/>
                <w:iCs w:val="0"/>
                <w:caps w:val="0"/>
                <w:color w:val="333333"/>
                <w:spacing w:val="0"/>
                <w:sz w:val="36"/>
                <w:szCs w:val="36"/>
                <w:bdr w:val="none" w:color="auto" w:sz="0" w:space="0"/>
              </w:rPr>
              <w:t>加快推进社会诚信建设的指导意见</w:t>
            </w:r>
            <w:r>
              <w:rPr>
                <w:rStyle w:val="12"/>
                <w:rFonts w:hint="eastAsia" w:ascii="宋体" w:hAnsi="宋体" w:eastAsia="宋体" w:cs="宋体"/>
                <w:i w:val="0"/>
                <w:iCs w:val="0"/>
                <w:caps w:val="0"/>
                <w:color w:val="333333"/>
                <w:spacing w:val="0"/>
                <w:sz w:val="36"/>
                <w:szCs w:val="36"/>
                <w:bdr w:val="none" w:color="auto" w:sz="0" w:space="0"/>
              </w:rPr>
              <w:br w:type="textWrapping"/>
            </w:r>
            <w:r>
              <w:rPr>
                <w:rFonts w:ascii="楷体_GB2312" w:hAnsi="宋体" w:eastAsia="楷体_GB2312" w:cs="楷体_GB2312"/>
                <w:i w:val="0"/>
                <w:iCs w:val="0"/>
                <w:caps w:val="0"/>
                <w:color w:val="333333"/>
                <w:spacing w:val="0"/>
                <w:sz w:val="24"/>
                <w:szCs w:val="24"/>
                <w:bdr w:val="none" w:color="auto" w:sz="0" w:space="0"/>
              </w:rPr>
              <w:t>国发〔2016〕33号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i w:val="0"/>
                <w:iCs w:val="0"/>
                <w:caps w:val="0"/>
                <w:color w:val="333333"/>
                <w:spacing w:val="0"/>
                <w:sz w:val="24"/>
                <w:szCs w:val="24"/>
                <w:bdr w:val="none" w:color="auto" w:sz="0" w:space="0"/>
              </w:rPr>
              <w:t>各省、自治区、直辖市人民政府，国务院各部委、各直属机构：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12"/>
                <w:rFonts w:hint="eastAsia" w:ascii="宋体" w:hAnsi="宋体" w:eastAsia="宋体" w:cs="宋体"/>
                <w:i w:val="0"/>
                <w:iCs w:val="0"/>
                <w:caps w:val="0"/>
                <w:color w:val="333333"/>
                <w:spacing w:val="0"/>
                <w:sz w:val="24"/>
                <w:szCs w:val="24"/>
                <w:bdr w:val="none" w:color="auto" w:sz="0" w:space="0"/>
              </w:rPr>
              <w:t>一、总体要求</w:t>
            </w:r>
            <w:r>
              <w:rPr>
                <w:rStyle w:val="12"/>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（一）指导思想。</w:t>
            </w:r>
            <w:r>
              <w:rPr>
                <w:rFonts w:hint="default" w:ascii="楷体_GB2312" w:hAnsi="宋体" w:eastAsia="楷体_GB2312" w:cs="楷体_GB2312"/>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全面贯彻党的十八大和十八届三中、四中、五中全会精神，深入贯彻习近平总书记系列重要讲话精神，按照党中央、国务院决策部署，紧紧围绕“四个全面”战略布局，牢固树立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（二）基本原则。</w:t>
            </w:r>
            <w:r>
              <w:rPr>
                <w:rFonts w:hint="default" w:ascii="楷体_GB2312" w:hAnsi="宋体" w:eastAsia="楷体_GB2312" w:cs="楷体_GB2312"/>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褒扬诚信，惩戒失信。</w:t>
            </w:r>
            <w:r>
              <w:rPr>
                <w:rFonts w:hint="eastAsia" w:ascii="宋体" w:hAnsi="宋体" w:eastAsia="宋体" w:cs="宋体"/>
                <w:i w:val="0"/>
                <w:iCs w:val="0"/>
                <w:caps w:val="0"/>
                <w:color w:val="333333"/>
                <w:spacing w:val="0"/>
                <w:sz w:val="24"/>
                <w:szCs w:val="24"/>
                <w:bdr w:val="none" w:color="auto" w:sz="0" w:space="0"/>
              </w:rPr>
              <w:t>充分运用信用激励和约束手段，加大对诚信主体激励和对严重失信主体惩戒力度，让守信者受益、失信者受限，形成褒扬诚信、惩戒失信的制度机制。</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部门联动，社会协同。</w:t>
            </w:r>
            <w:r>
              <w:rPr>
                <w:rFonts w:hint="eastAsia" w:ascii="宋体" w:hAnsi="宋体" w:eastAsia="宋体" w:cs="宋体"/>
                <w:i w:val="0"/>
                <w:iCs w:val="0"/>
                <w:caps w:val="0"/>
                <w:color w:val="333333"/>
                <w:spacing w:val="0"/>
                <w:sz w:val="24"/>
                <w:szCs w:val="24"/>
                <w:bdr w:val="none" w:color="auto" w:sz="0" w:space="0"/>
              </w:rPr>
              <w:t>通过信用信息公开和共享，建立跨地区、跨部门、跨领域的联合激励与惩戒机制，形成政府部门协同联动、行业组织自律管理、信用服务机构积极参与、社会舆论广泛监督的共同治理格局。</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依法依规，保护权益。</w:t>
            </w:r>
            <w:r>
              <w:rPr>
                <w:rFonts w:hint="eastAsia" w:ascii="宋体" w:hAnsi="宋体" w:eastAsia="宋体" w:cs="宋体"/>
                <w:i w:val="0"/>
                <w:iCs w:val="0"/>
                <w:caps w:val="0"/>
                <w:color w:val="333333"/>
                <w:spacing w:val="0"/>
                <w:sz w:val="24"/>
                <w:szCs w:val="24"/>
                <w:bdr w:val="none" w:color="auto" w:sz="0" w:space="0"/>
              </w:rPr>
              <w:t>严格依照法律法规和政策规定，科学界定守信和失信行为，开展守信联合激励和失信联合惩戒。建立健全信用修复、异议申诉等机制，保护当事人合法权益。</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突出重点，统筹推进。</w:t>
            </w:r>
            <w:r>
              <w:rPr>
                <w:rFonts w:hint="eastAsia" w:ascii="宋体" w:hAnsi="宋体" w:eastAsia="宋体" w:cs="宋体"/>
                <w:i w:val="0"/>
                <w:iCs w:val="0"/>
                <w:caps w:val="0"/>
                <w:color w:val="333333"/>
                <w:spacing w:val="0"/>
                <w:sz w:val="24"/>
                <w:szCs w:val="24"/>
                <w:bdr w:val="none" w:color="auto" w:sz="0" w:space="0"/>
              </w:rPr>
              <w:t>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12"/>
                <w:rFonts w:hint="eastAsia" w:ascii="宋体" w:hAnsi="宋体" w:eastAsia="宋体" w:cs="宋体"/>
                <w:i w:val="0"/>
                <w:iCs w:val="0"/>
                <w:caps w:val="0"/>
                <w:color w:val="333333"/>
                <w:spacing w:val="0"/>
                <w:sz w:val="24"/>
                <w:szCs w:val="24"/>
                <w:bdr w:val="none" w:color="auto" w:sz="0" w:space="0"/>
              </w:rPr>
              <w:t>二、健全褒扬和激励诚信行为机制</w:t>
            </w:r>
            <w:r>
              <w:rPr>
                <w:rStyle w:val="12"/>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（三）多渠道选树诚信典型。</w:t>
            </w:r>
            <w:r>
              <w:rPr>
                <w:rFonts w:hint="eastAsia" w:ascii="宋体" w:hAnsi="宋体" w:eastAsia="宋体" w:cs="宋体"/>
                <w:i w:val="0"/>
                <w:iCs w:val="0"/>
                <w:caps w:val="0"/>
                <w:color w:val="333333"/>
                <w:spacing w:val="0"/>
                <w:sz w:val="24"/>
                <w:szCs w:val="24"/>
                <w:bdr w:val="none" w:color="auto" w:sz="0" w:space="0"/>
              </w:rPr>
              <w:t>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形成企业争做诚信模范的良好氛围。</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（四）探索建立行政审批“绿色通道”。</w:t>
            </w:r>
            <w:r>
              <w:rPr>
                <w:rFonts w:hint="eastAsia" w:ascii="宋体" w:hAnsi="宋体" w:eastAsia="宋体" w:cs="宋体"/>
                <w:i w:val="0"/>
                <w:iCs w:val="0"/>
                <w:caps w:val="0"/>
                <w:color w:val="333333"/>
                <w:spacing w:val="0"/>
                <w:sz w:val="24"/>
                <w:szCs w:val="24"/>
                <w:bdr w:val="none" w:color="auto" w:sz="0" w:space="0"/>
              </w:rPr>
              <w:t>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（五）优先提供公共服务便利。</w:t>
            </w:r>
            <w:r>
              <w:rPr>
                <w:rFonts w:hint="eastAsia" w:ascii="宋体" w:hAnsi="宋体" w:eastAsia="宋体" w:cs="宋体"/>
                <w:i w:val="0"/>
                <w:iCs w:val="0"/>
                <w:caps w:val="0"/>
                <w:color w:val="333333"/>
                <w:spacing w:val="0"/>
                <w:sz w:val="24"/>
                <w:szCs w:val="24"/>
                <w:bdr w:val="none" w:color="auto" w:sz="0" w:space="0"/>
              </w:rPr>
              <w:t>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（六）优化诚信企业行政监管安排。</w:t>
            </w:r>
            <w:r>
              <w:rPr>
                <w:rFonts w:hint="eastAsia" w:ascii="宋体" w:hAnsi="宋体" w:eastAsia="宋体" w:cs="宋体"/>
                <w:i w:val="0"/>
                <w:iCs w:val="0"/>
                <w:caps w:val="0"/>
                <w:color w:val="333333"/>
                <w:spacing w:val="0"/>
                <w:sz w:val="24"/>
                <w:szCs w:val="24"/>
                <w:bdr w:val="none" w:color="auto" w:sz="0" w:space="0"/>
              </w:rPr>
              <w:t>各级市场监管部门应根据监管对象的信用记录和信用评价分类，注重运用大数据手段，完善事中事后监管措施，为市场主体提供便利化服务。对符合一定条件的诚信企业，在日常检查、专项检查中优化检查频次。</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（七）降低市场交易成本。</w:t>
            </w:r>
            <w:r>
              <w:rPr>
                <w:rFonts w:hint="eastAsia" w:ascii="宋体" w:hAnsi="宋体" w:eastAsia="宋体" w:cs="宋体"/>
                <w:i w:val="0"/>
                <w:iCs w:val="0"/>
                <w:caps w:val="0"/>
                <w:color w:val="333333"/>
                <w:spacing w:val="0"/>
                <w:sz w:val="24"/>
                <w:szCs w:val="24"/>
                <w:bdr w:val="none" w:color="auto" w:sz="0" w:space="0"/>
              </w:rPr>
              <w:t>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（八）大力推介诚信市场主体。</w:t>
            </w:r>
            <w:r>
              <w:rPr>
                <w:rFonts w:hint="eastAsia" w:ascii="宋体" w:hAnsi="宋体" w:eastAsia="宋体" w:cs="宋体"/>
                <w:i w:val="0"/>
                <w:iCs w:val="0"/>
                <w:caps w:val="0"/>
                <w:color w:val="333333"/>
                <w:spacing w:val="0"/>
                <w:sz w:val="24"/>
                <w:szCs w:val="24"/>
                <w:bdr w:val="none" w:color="auto" w:sz="0" w:space="0"/>
              </w:rPr>
              <w:t>各级人民政府有关部门应将诚信市场主体优良信用信息及时在政府网站和“信用中国”网站进行公示，在会展、银企对接等活动中重点推介诚信企业，让信用成为市场配置资源的重要考量因素。引导征信机构加强对市场主体正面信息的采集，在诚信问题反映较为集中的行业领域，对守信者加大激励性评分比重。推动行业协会商会加强诚信建设和行业自律，表彰诚信会员，讲好行业“诚信故事”。</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12"/>
                <w:rFonts w:hint="eastAsia" w:ascii="宋体" w:hAnsi="宋体" w:eastAsia="宋体" w:cs="宋体"/>
                <w:i w:val="0"/>
                <w:iCs w:val="0"/>
                <w:caps w:val="0"/>
                <w:color w:val="333333"/>
                <w:spacing w:val="0"/>
                <w:sz w:val="24"/>
                <w:szCs w:val="24"/>
                <w:bdr w:val="none" w:color="auto" w:sz="0" w:space="0"/>
              </w:rPr>
              <w:t>三、健全约束和惩戒失信行为机制</w:t>
            </w:r>
            <w:r>
              <w:rPr>
                <w:rStyle w:val="12"/>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（九）对重点领域和严重失信行为实施联合惩戒。</w:t>
            </w:r>
            <w:r>
              <w:rPr>
                <w:rFonts w:hint="eastAsia" w:ascii="宋体" w:hAnsi="宋体" w:eastAsia="宋体" w:cs="宋体"/>
                <w:i w:val="0"/>
                <w:iCs w:val="0"/>
                <w:caps w:val="0"/>
                <w:color w:val="333333"/>
                <w:spacing w:val="0"/>
                <w:sz w:val="24"/>
                <w:szCs w:val="24"/>
                <w:bdr w:val="none" w:color="auto" w:sz="0" w:space="0"/>
              </w:rPr>
              <w:t>在有关部门和社会组织依法依规对本领域失信行为作出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失信行为。三是拒不履行法定义务，严重影响司法机关、行政机关公信力的行为，包括当事人在司法机关、行政机关作出判决或决定后，有履行能力但拒不履行、逃避执行等严重失信行为。四是拒不履行国防义务，拒绝、逃避兵役，拒绝、拖延民用资源征用或者阻碍对被征用的民用资源进行改造，危害国防利益，破坏国防设施等行为。</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（十）依法依规加强对失信行为的行政性约束和惩戒。</w:t>
            </w:r>
            <w:r>
              <w:rPr>
                <w:rFonts w:hint="eastAsia" w:ascii="宋体" w:hAnsi="宋体" w:eastAsia="宋体" w:cs="宋体"/>
                <w:i w:val="0"/>
                <w:iCs w:val="0"/>
                <w:caps w:val="0"/>
                <w:color w:val="333333"/>
                <w:spacing w:val="0"/>
                <w:sz w:val="24"/>
                <w:szCs w:val="24"/>
                <w:bdr w:val="none" w:color="auto" w:sz="0" w:space="0"/>
              </w:rPr>
              <w:t>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（十一）加强对失信行为的市场性约束和惩戒。</w:t>
            </w:r>
            <w:r>
              <w:rPr>
                <w:rFonts w:hint="eastAsia" w:ascii="宋体" w:hAnsi="宋体" w:eastAsia="宋体" w:cs="宋体"/>
                <w:i w:val="0"/>
                <w:iCs w:val="0"/>
                <w:caps w:val="0"/>
                <w:color w:val="333333"/>
                <w:spacing w:val="0"/>
                <w:sz w:val="24"/>
                <w:szCs w:val="24"/>
                <w:bdr w:val="none" w:color="auto" w:sz="0" w:space="0"/>
              </w:rPr>
              <w:t>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（十二）加强对失信行为的行业性约束和惩戒。</w:t>
            </w:r>
            <w:r>
              <w:rPr>
                <w:rFonts w:hint="eastAsia" w:ascii="宋体" w:hAnsi="宋体" w:eastAsia="宋体" w:cs="宋体"/>
                <w:i w:val="0"/>
                <w:iCs w:val="0"/>
                <w:caps w:val="0"/>
                <w:color w:val="333333"/>
                <w:spacing w:val="0"/>
                <w:sz w:val="24"/>
                <w:szCs w:val="24"/>
                <w:bdr w:val="none" w:color="auto" w:sz="0" w:space="0"/>
              </w:rPr>
              <w:t>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（十三）加强对失信行为的社会性约束和惩戒。</w:t>
            </w:r>
            <w:r>
              <w:rPr>
                <w:rFonts w:hint="eastAsia" w:ascii="宋体" w:hAnsi="宋体" w:eastAsia="宋体" w:cs="宋体"/>
                <w:i w:val="0"/>
                <w:iCs w:val="0"/>
                <w:caps w:val="0"/>
                <w:color w:val="333333"/>
                <w:spacing w:val="0"/>
                <w:sz w:val="24"/>
                <w:szCs w:val="24"/>
                <w:bdr w:val="none" w:color="auto" w:sz="0" w:space="0"/>
              </w:rPr>
              <w:t>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（十四）完善个人信用记录，推动联合惩戒措施落实到人。</w:t>
            </w:r>
            <w:r>
              <w:rPr>
                <w:rFonts w:hint="eastAsia" w:ascii="宋体" w:hAnsi="宋体" w:eastAsia="宋体" w:cs="宋体"/>
                <w:i w:val="0"/>
                <w:iCs w:val="0"/>
                <w:caps w:val="0"/>
                <w:color w:val="333333"/>
                <w:spacing w:val="0"/>
                <w:sz w:val="24"/>
                <w:szCs w:val="24"/>
                <w:bdr w:val="none" w:color="auto" w:sz="0" w:space="0"/>
              </w:rPr>
              <w:t>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应的联合惩戒措施。通过建立完整的个人信用记录数据库及联合惩戒机制，使失信惩戒措施落实到人。</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12"/>
                <w:rFonts w:hint="eastAsia" w:ascii="宋体" w:hAnsi="宋体" w:eastAsia="宋体" w:cs="宋体"/>
                <w:i w:val="0"/>
                <w:iCs w:val="0"/>
                <w:caps w:val="0"/>
                <w:color w:val="333333"/>
                <w:spacing w:val="0"/>
                <w:sz w:val="24"/>
                <w:szCs w:val="24"/>
                <w:bdr w:val="none" w:color="auto" w:sz="0" w:space="0"/>
              </w:rPr>
              <w:t>四、构建守信联合激励和失信联合惩戒协同机制</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（十五）建立触发反馈机制。</w:t>
            </w:r>
            <w:r>
              <w:rPr>
                <w:rFonts w:hint="eastAsia" w:ascii="宋体" w:hAnsi="宋体" w:eastAsia="宋体" w:cs="宋体"/>
                <w:i w:val="0"/>
                <w:iCs w:val="0"/>
                <w:caps w:val="0"/>
                <w:color w:val="333333"/>
                <w:spacing w:val="0"/>
                <w:sz w:val="24"/>
                <w:szCs w:val="24"/>
                <w:bdr w:val="none" w:color="auto" w:sz="0" w:space="0"/>
              </w:rPr>
              <w:t>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（十六）实施部省协同和跨区域联动。</w:t>
            </w:r>
            <w:r>
              <w:rPr>
                <w:rFonts w:hint="eastAsia" w:ascii="宋体" w:hAnsi="宋体" w:eastAsia="宋体" w:cs="宋体"/>
                <w:i w:val="0"/>
                <w:iCs w:val="0"/>
                <w:caps w:val="0"/>
                <w:color w:val="333333"/>
                <w:spacing w:val="0"/>
                <w:sz w:val="24"/>
                <w:szCs w:val="24"/>
                <w:bdr w:val="none" w:color="auto" w:sz="0" w:space="0"/>
              </w:rPr>
              <w:t>鼓励各地区对本行政区域内确定的诚信典型和严重失信主体，发起部省协同和跨区域联合激励与惩戒。充分发挥社会信用体系建设部际联席会议制度的指导作用，建立健全跨地区、跨部门、跨领域的信用体系建设合作机制，加强信用信息共享和信用评价结果互认。</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（十七）建立健全信用信息公示机制。</w:t>
            </w:r>
            <w:r>
              <w:rPr>
                <w:rFonts w:hint="eastAsia" w:ascii="宋体" w:hAnsi="宋体" w:eastAsia="宋体" w:cs="宋体"/>
                <w:i w:val="0"/>
                <w:iCs w:val="0"/>
                <w:caps w:val="0"/>
                <w:color w:val="333333"/>
                <w:spacing w:val="0"/>
                <w:sz w:val="24"/>
                <w:szCs w:val="24"/>
                <w:bdr w:val="none" w:color="auto" w:sz="0" w:space="0"/>
              </w:rPr>
              <w:t>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涉及企业的相关信息按照企业信息公示暂行条例规定在企业信用信息公示系统公示。推动司法机关在“信用中国”网站公示司法判决、失信被执行人名单等信用信息。</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（十八）建立健全信用信息归集共享和使用机制。</w:t>
            </w:r>
            <w:r>
              <w:rPr>
                <w:rFonts w:hint="eastAsia" w:ascii="宋体" w:hAnsi="宋体" w:eastAsia="宋体" w:cs="宋体"/>
                <w:i w:val="0"/>
                <w:iCs w:val="0"/>
                <w:caps w:val="0"/>
                <w:color w:val="333333"/>
                <w:spacing w:val="0"/>
                <w:sz w:val="24"/>
                <w:szCs w:val="24"/>
                <w:bdr w:val="none" w:color="auto" w:sz="0" w:space="0"/>
              </w:rPr>
              <w:t>依托国家电子政务外网，建立全国信用信息共享平台，发挥信用信息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（十九）规范信用红黑名单制度。</w:t>
            </w:r>
            <w:r>
              <w:rPr>
                <w:rFonts w:hint="eastAsia" w:ascii="宋体" w:hAnsi="宋体" w:eastAsia="宋体" w:cs="宋体"/>
                <w:i w:val="0"/>
                <w:iCs w:val="0"/>
                <w:caps w:val="0"/>
                <w:color w:val="333333"/>
                <w:spacing w:val="0"/>
                <w:sz w:val="24"/>
                <w:szCs w:val="24"/>
                <w:bdr w:val="none" w:color="auto" w:sz="0" w:space="0"/>
              </w:rPr>
              <w:t>不断完善诚信典型“红名单”制度和严重失信主体“黑名单”制度，依法依规规范各领域红黑名单产生和发布行为，建立健全退出机制。在保证独立、公正、客观前提下，鼓励有关群众团体、金融机构、征信机构、评级机构、行业协会商会等将产生的“红名单”和“黑名单”信息提供给政府部门参考使用。</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（二十）建立激励和惩戒措施清单制度。</w:t>
            </w:r>
            <w:r>
              <w:rPr>
                <w:rFonts w:hint="eastAsia" w:ascii="宋体" w:hAnsi="宋体" w:eastAsia="宋体" w:cs="宋体"/>
                <w:i w:val="0"/>
                <w:iCs w:val="0"/>
                <w:caps w:val="0"/>
                <w:color w:val="333333"/>
                <w:spacing w:val="0"/>
                <w:sz w:val="24"/>
                <w:szCs w:val="24"/>
                <w:bdr w:val="none" w:color="auto" w:sz="0" w:space="0"/>
              </w:rPr>
              <w:t>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（二十一）建立健全信用修复机制。</w:t>
            </w:r>
            <w:r>
              <w:rPr>
                <w:rFonts w:hint="eastAsia" w:ascii="宋体" w:hAnsi="宋体" w:eastAsia="宋体" w:cs="宋体"/>
                <w:i w:val="0"/>
                <w:iCs w:val="0"/>
                <w:caps w:val="0"/>
                <w:color w:val="333333"/>
                <w:spacing w:val="0"/>
                <w:sz w:val="24"/>
                <w:szCs w:val="24"/>
                <w:bdr w:val="none" w:color="auto" w:sz="0" w:space="0"/>
              </w:rPr>
              <w:t>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（二十二）建立健全信用主体权益保护机制。</w:t>
            </w:r>
            <w:r>
              <w:rPr>
                <w:rFonts w:hint="eastAsia" w:ascii="宋体" w:hAnsi="宋体" w:eastAsia="宋体" w:cs="宋体"/>
                <w:i w:val="0"/>
                <w:iCs w:val="0"/>
                <w:caps w:val="0"/>
                <w:color w:val="333333"/>
                <w:spacing w:val="0"/>
                <w:sz w:val="24"/>
                <w:szCs w:val="24"/>
                <w:bdr w:val="none" w:color="auto" w:sz="0" w:space="0"/>
              </w:rPr>
              <w:t>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（二十三）建立跟踪问效机制。</w:t>
            </w:r>
            <w:r>
              <w:rPr>
                <w:rFonts w:hint="eastAsia" w:ascii="宋体" w:hAnsi="宋体" w:eastAsia="宋体" w:cs="宋体"/>
                <w:i w:val="0"/>
                <w:iCs w:val="0"/>
                <w:caps w:val="0"/>
                <w:color w:val="333333"/>
                <w:spacing w:val="0"/>
                <w:sz w:val="24"/>
                <w:szCs w:val="24"/>
                <w:bdr w:val="none" w:color="auto" w:sz="0" w:space="0"/>
              </w:rPr>
              <w:t>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Style w:val="12"/>
                <w:rFonts w:hint="eastAsia" w:ascii="宋体" w:hAnsi="宋体" w:eastAsia="宋体" w:cs="宋体"/>
                <w:i w:val="0"/>
                <w:iCs w:val="0"/>
                <w:caps w:val="0"/>
                <w:color w:val="333333"/>
                <w:spacing w:val="0"/>
                <w:sz w:val="24"/>
                <w:szCs w:val="24"/>
                <w:bdr w:val="none" w:color="auto" w:sz="0" w:space="0"/>
              </w:rPr>
              <w:t>五、加强法规制度和诚信文化建设</w:t>
            </w:r>
            <w:r>
              <w:rPr>
                <w:rStyle w:val="12"/>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（二十四）完善相关法律法规。</w:t>
            </w:r>
            <w:r>
              <w:rPr>
                <w:rFonts w:hint="eastAsia" w:ascii="宋体" w:hAnsi="宋体" w:eastAsia="宋体" w:cs="宋体"/>
                <w:i w:val="0"/>
                <w:iCs w:val="0"/>
                <w:caps w:val="0"/>
                <w:color w:val="333333"/>
                <w:spacing w:val="0"/>
                <w:sz w:val="24"/>
                <w:szCs w:val="24"/>
                <w:bdr w:val="none" w:color="auto" w:sz="0" w:space="0"/>
              </w:rPr>
              <w:t>继续研究论证社会信用领域立法。加快研究推进信用信息归集、共享、公开和使用，以及失信行为联合惩戒等方面的立法工作。按照强化信用约束和协同监管要求，各地区、各部门应对现行法律、法规、规章和规范性文件有关规定提出修订建议或进行有针对性的修改。</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（二十五）建立健全标准规范。</w:t>
            </w:r>
            <w:r>
              <w:rPr>
                <w:rFonts w:hint="eastAsia" w:ascii="宋体" w:hAnsi="宋体" w:eastAsia="宋体" w:cs="宋体"/>
                <w:i w:val="0"/>
                <w:iCs w:val="0"/>
                <w:caps w:val="0"/>
                <w:color w:val="333333"/>
                <w:spacing w:val="0"/>
                <w:sz w:val="24"/>
                <w:szCs w:val="24"/>
                <w:bdr w:val="none" w:color="auto" w:sz="0" w:space="0"/>
              </w:rPr>
              <w:t>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（二十六）加强诚信教育和诚信文化建设。</w:t>
            </w:r>
            <w:r>
              <w:rPr>
                <w:rFonts w:hint="eastAsia" w:ascii="宋体" w:hAnsi="宋体" w:eastAsia="宋体" w:cs="宋体"/>
                <w:i w:val="0"/>
                <w:iCs w:val="0"/>
                <w:caps w:val="0"/>
                <w:color w:val="333333"/>
                <w:spacing w:val="0"/>
                <w:sz w:val="24"/>
                <w:szCs w:val="24"/>
                <w:bdr w:val="none" w:color="auto" w:sz="0" w:space="0"/>
              </w:rPr>
              <w:t>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w:t>
            </w:r>
            <w:r>
              <w:rPr>
                <w:rFonts w:hint="default" w:ascii="楷体_GB2312" w:hAnsi="宋体" w:eastAsia="楷体_GB2312" w:cs="楷体_GB2312"/>
                <w:i w:val="0"/>
                <w:iCs w:val="0"/>
                <w:caps w:val="0"/>
                <w:color w:val="333333"/>
                <w:spacing w:val="0"/>
                <w:sz w:val="24"/>
                <w:szCs w:val="24"/>
                <w:bdr w:val="none" w:color="auto" w:sz="0" w:space="0"/>
              </w:rPr>
              <w:t>（二十七）加强组织实施和督促检查。</w:t>
            </w:r>
            <w:r>
              <w:rPr>
                <w:rFonts w:hint="eastAsia" w:ascii="宋体" w:hAnsi="宋体" w:eastAsia="宋体" w:cs="宋体"/>
                <w:i w:val="0"/>
                <w:iCs w:val="0"/>
                <w:caps w:val="0"/>
                <w:color w:val="333333"/>
                <w:spacing w:val="0"/>
                <w:sz w:val="24"/>
                <w:szCs w:val="24"/>
                <w:bdr w:val="none" w:color="auto" w:sz="0" w:space="0"/>
              </w:rPr>
              <w:t>各地区、各有关部门要把实施守信联合激励和失信联合惩戒作为推进社会信用体系建设的重要举措，认真贯彻落实本意见并制定具体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i w:val="0"/>
                <w:iCs w:val="0"/>
                <w:caps w:val="0"/>
                <w:color w:val="333333"/>
                <w:spacing w:val="0"/>
                <w:sz w:val="24"/>
                <w:szCs w:val="24"/>
                <w:bdr w:val="none" w:color="auto" w:sz="0" w:space="0"/>
              </w:rPr>
              <w:t>　　　　　　　　　　　　　　　　　　　　　　　　　　　　　  国务院</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2016年5月30日</w:t>
            </w:r>
            <w:r>
              <w:rPr>
                <w:rFonts w:hint="eastAsia" w:ascii="宋体" w:hAnsi="宋体" w:eastAsia="宋体" w:cs="宋体"/>
                <w:i w:val="0"/>
                <w:iCs w:val="0"/>
                <w:caps w:val="0"/>
                <w:color w:val="333333"/>
                <w:spacing w:val="0"/>
                <w:sz w:val="24"/>
                <w:szCs w:val="24"/>
                <w:bdr w:val="none" w:color="auto" w:sz="0" w:space="0"/>
              </w:rPr>
              <w:br w:type="textWrapping"/>
            </w:r>
            <w:r>
              <w:rPr>
                <w:rFonts w:hint="eastAsia" w:ascii="宋体" w:hAnsi="宋体" w:eastAsia="宋体" w:cs="宋体"/>
                <w:i w:val="0"/>
                <w:iCs w:val="0"/>
                <w:caps w:val="0"/>
                <w:color w:val="333333"/>
                <w:spacing w:val="0"/>
                <w:sz w:val="24"/>
                <w:szCs w:val="24"/>
                <w:bdr w:val="none" w:color="auto" w:sz="0" w:space="0"/>
              </w:rPr>
              <w:t>　　（此件公开发布） </w:t>
            </w:r>
          </w:p>
        </w:tc>
      </w:tr>
    </w:tbl>
    <w:p>
      <w:pPr>
        <w:pStyle w:val="2"/>
        <w:rPr>
          <w:rFonts w:hint="default"/>
          <w:lang w:val="en-US" w:eastAsia="zh-CN"/>
        </w:rPr>
      </w:pPr>
      <w:bookmarkStart w:id="0" w:name="_GoBack"/>
      <w:bookmarkEnd w:id="0"/>
    </w:p>
    <w:p>
      <w:pPr>
        <w:pStyle w:val="3"/>
        <w:rPr>
          <w:rFonts w:hint="default"/>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roid Sans Ethiopic">
    <w:panose1 w:val="020B0606030804020204"/>
    <w:charset w:val="00"/>
    <w:family w:val="auto"/>
    <w:pitch w:val="default"/>
    <w:sig w:usb0="00000003" w:usb1="00000000" w:usb2="00000800" w:usb3="00000000" w:csb0="00000001"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BFF59F4"/>
    <w:rsid w:val="5DFEA42C"/>
    <w:rsid w:val="5E7A5AEE"/>
    <w:rsid w:val="5F1F4D9E"/>
    <w:rsid w:val="5FF61E63"/>
    <w:rsid w:val="65660CBC"/>
    <w:rsid w:val="6D285F68"/>
    <w:rsid w:val="6E162077"/>
    <w:rsid w:val="6EBFA9A1"/>
    <w:rsid w:val="6FBE055B"/>
    <w:rsid w:val="6FFFEAB9"/>
    <w:rsid w:val="72F7390D"/>
    <w:rsid w:val="7775BFC3"/>
    <w:rsid w:val="7A3B8BC0"/>
    <w:rsid w:val="7B122FB0"/>
    <w:rsid w:val="7BA72050"/>
    <w:rsid w:val="7C1B5FE3"/>
    <w:rsid w:val="7CA61D64"/>
    <w:rsid w:val="7EE59D8B"/>
    <w:rsid w:val="7EFDFF5E"/>
    <w:rsid w:val="7EFF40DB"/>
    <w:rsid w:val="7FAFA8B4"/>
    <w:rsid w:val="7FFB7620"/>
    <w:rsid w:val="84BF2021"/>
    <w:rsid w:val="9EE7FC78"/>
    <w:rsid w:val="B1B7A4DC"/>
    <w:rsid w:val="BDD330EE"/>
    <w:rsid w:val="BF9EB05D"/>
    <w:rsid w:val="CE161C7D"/>
    <w:rsid w:val="CFD39B1E"/>
    <w:rsid w:val="D57F4193"/>
    <w:rsid w:val="D7FF4405"/>
    <w:rsid w:val="DEFF1277"/>
    <w:rsid w:val="DF7FB6D6"/>
    <w:rsid w:val="DFE4158F"/>
    <w:rsid w:val="DFFB3EC4"/>
    <w:rsid w:val="DFFB69EE"/>
    <w:rsid w:val="E7FFF438"/>
    <w:rsid w:val="EF9FEF09"/>
    <w:rsid w:val="EFF79C96"/>
    <w:rsid w:val="F76D665B"/>
    <w:rsid w:val="F77F8679"/>
    <w:rsid w:val="FA3EC9BE"/>
    <w:rsid w:val="FB9CA328"/>
    <w:rsid w:val="FBF676FE"/>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3</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2021-10-19T05:52:00Z</dcterms:created>
  <dc:creator>Pure sky</dc:creator>
  <cp:lastModifiedBy>kylin</cp:lastModifiedBy>
  <cp:lastPrinted>2022-04-17T17:06:00Z</cp:lastPrinted>
  <dcterms:modified xsi:type="dcterms:W3CDTF">2022-10-19T17:02:22Z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