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s="Arial"/>
          <w:bCs/>
          <w:color w:val="000000"/>
          <w:sz w:val="32"/>
          <w:szCs w:val="32"/>
        </w:rPr>
      </w:pPr>
      <w:r>
        <w:rPr>
          <w:rFonts w:hint="eastAsia" w:ascii="黑体" w:hAnsi="宋体" w:eastAsia="黑体" w:cs="Arial"/>
          <w:bCs/>
          <w:color w:val="000000"/>
          <w:sz w:val="32"/>
          <w:szCs w:val="32"/>
        </w:rPr>
        <w:t>附件</w:t>
      </w:r>
      <w:r>
        <w:rPr>
          <w:rFonts w:hint="eastAsia" w:ascii="黑体" w:hAnsi="宋体" w:eastAsia="黑体" w:cs="Arial"/>
          <w:bCs/>
          <w:color w:val="000000"/>
          <w:sz w:val="32"/>
          <w:szCs w:val="32"/>
          <w:lang w:val="en-US" w:eastAsia="zh-CN"/>
        </w:rPr>
        <w:t>1</w:t>
      </w:r>
      <w:bookmarkStart w:id="0" w:name="_GoBack"/>
      <w:bookmarkEnd w:id="0"/>
      <w:r>
        <w:rPr>
          <w:rFonts w:hint="eastAsia" w:ascii="黑体" w:hAnsi="宋体" w:eastAsia="黑体" w:cs="Arial"/>
          <w:bCs/>
          <w:color w:val="000000"/>
          <w:sz w:val="32"/>
          <w:szCs w:val="32"/>
        </w:rPr>
        <w:t>：</w:t>
      </w:r>
    </w:p>
    <w:p>
      <w:pPr>
        <w:jc w:val="center"/>
        <w:rPr>
          <w:rFonts w:hint="eastAsia" w:ascii="方正小标宋简体" w:hAnsi="宋体" w:eastAsia="方正小标宋简体" w:cs="Arial"/>
          <w:bCs/>
          <w:color w:val="000000"/>
          <w:sz w:val="44"/>
          <w:szCs w:val="44"/>
        </w:rPr>
      </w:pPr>
      <w:r>
        <w:rPr>
          <w:rFonts w:hint="eastAsia" w:ascii="方正小标宋简体" w:hAnsi="宋体" w:eastAsia="方正小标宋简体" w:cs="Arial"/>
          <w:bCs/>
          <w:color w:val="000000"/>
          <w:spacing w:val="40"/>
          <w:sz w:val="44"/>
          <w:szCs w:val="44"/>
        </w:rPr>
        <w:t>项目支出绩效评分</w:t>
      </w:r>
      <w:r>
        <w:rPr>
          <w:rFonts w:hint="eastAsia" w:ascii="方正小标宋简体" w:hAnsi="宋体" w:eastAsia="方正小标宋简体" w:cs="Arial"/>
          <w:bCs/>
          <w:color w:val="000000"/>
          <w:sz w:val="44"/>
          <w:szCs w:val="44"/>
        </w:rPr>
        <w:t>表</w:t>
      </w:r>
    </w:p>
    <w:tbl>
      <w:tblPr>
        <w:tblStyle w:val="4"/>
        <w:tblW w:w="47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920"/>
        <w:gridCol w:w="1110"/>
        <w:gridCol w:w="741"/>
        <w:gridCol w:w="3797"/>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519"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一级</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指标</w:t>
            </w:r>
          </w:p>
        </w:tc>
        <w:tc>
          <w:tcPr>
            <w:tcW w:w="586" w:type="pct"/>
            <w:shd w:val="clear" w:color="auto" w:fill="FFFFFF"/>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二级指标</w:t>
            </w:r>
          </w:p>
        </w:tc>
        <w:tc>
          <w:tcPr>
            <w:tcW w:w="703" w:type="pct"/>
            <w:shd w:val="clear" w:color="auto" w:fill="FFFFFF"/>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三级指标</w:t>
            </w:r>
          </w:p>
        </w:tc>
        <w:tc>
          <w:tcPr>
            <w:tcW w:w="415"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分值权重</w:t>
            </w:r>
          </w:p>
        </w:tc>
        <w:tc>
          <w:tcPr>
            <w:tcW w:w="2356"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评分标准</w:t>
            </w:r>
          </w:p>
        </w:tc>
        <w:tc>
          <w:tcPr>
            <w:tcW w:w="419"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评价</w:t>
            </w:r>
          </w:p>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jc w:val="center"/>
        </w:trPr>
        <w:tc>
          <w:tcPr>
            <w:tcW w:w="519"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决</w:t>
            </w:r>
            <w:r>
              <w:rPr>
                <w:rFonts w:hint="eastAsia" w:ascii="方正书宋简体" w:hAnsi="黑体" w:eastAsia="方正书宋简体" w:cs="宋体"/>
                <w:color w:val="000000"/>
                <w:kern w:val="0"/>
                <w:szCs w:val="21"/>
                <w:lang w:val="en-US" w:eastAsia="zh-CN"/>
              </w:rPr>
              <w:t>策</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（20分）</w:t>
            </w:r>
          </w:p>
          <w:p>
            <w:pPr>
              <w:widowControl/>
              <w:spacing w:line="240" w:lineRule="exact"/>
              <w:jc w:val="center"/>
              <w:rPr>
                <w:rFonts w:hint="eastAsia" w:ascii="方正书宋简体" w:hAnsi="黑体" w:eastAsia="方正书宋简体" w:cs="宋体"/>
                <w:color w:val="000000"/>
                <w:kern w:val="0"/>
                <w:szCs w:val="21"/>
              </w:rPr>
            </w:pPr>
          </w:p>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58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项目立项</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rPr>
              <w:t>　</w:t>
            </w: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立项依据充分性</w:t>
            </w:r>
          </w:p>
        </w:tc>
        <w:tc>
          <w:tcPr>
            <w:tcW w:w="415" w:type="pct"/>
            <w:shd w:val="clear" w:color="auto"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①项目立项是否符合国家法律法规、国民经济发展规划和相关政策</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②项目立项是否符合行业发展规划和政策要求</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③项目立项是否与部门职责范围相符，属于部门履职所需</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④项目是否属于公共财政支持范围，是否符合中央、地方事权支出责任划分原则</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⑤项目是否与相关部门同类项目或部门内部相关项目重复</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0.5分</w:t>
            </w:r>
            <w:r>
              <w:rPr>
                <w:rFonts w:hint="eastAsia" w:ascii="方正书宋简体" w:hAnsi="黑体" w:eastAsia="方正书宋简体" w:cs="宋体"/>
                <w:color w:val="000000"/>
                <w:kern w:val="0"/>
                <w:szCs w:val="21"/>
                <w:lang w:eastAsia="zh-CN"/>
              </w:rPr>
              <w:t>）</w:t>
            </w:r>
          </w:p>
        </w:tc>
        <w:tc>
          <w:tcPr>
            <w:tcW w:w="419"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立项程序规范性</w:t>
            </w:r>
          </w:p>
        </w:tc>
        <w:tc>
          <w:tcPr>
            <w:tcW w:w="415" w:type="pct"/>
            <w:shd w:val="clear" w:color="auto"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①项目是否按照规定的程序申请设立</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0.8分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②审批文件、材料是否符合相关要求</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0.8分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③事前是否已经过必要的可行性研究、专家论证、风险评估、绩效评估、集体决策</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0.9分</w:t>
            </w:r>
            <w:r>
              <w:rPr>
                <w:rFonts w:hint="eastAsia" w:ascii="方正书宋简体" w:hAnsi="黑体" w:eastAsia="方正书宋简体" w:cs="宋体"/>
                <w:color w:val="000000"/>
                <w:kern w:val="0"/>
                <w:szCs w:val="21"/>
                <w:lang w:eastAsia="zh-CN"/>
              </w:rPr>
              <w:t>）</w:t>
            </w:r>
          </w:p>
        </w:tc>
        <w:tc>
          <w:tcPr>
            <w:tcW w:w="419"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绩效目标</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10分</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rPr>
              <w:t>　</w:t>
            </w:r>
          </w:p>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绩效目标合理性</w:t>
            </w:r>
          </w:p>
        </w:tc>
        <w:tc>
          <w:tcPr>
            <w:tcW w:w="415"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①项目是否有绩效目标</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②项目绩效目标与实际工作内容是否具有相关性</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③项目预期产出效益和效果是否符合正常的业绩水平</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④是否与预算确定的项目投资额或资金量相匹配</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绩效指标明确性</w:t>
            </w:r>
          </w:p>
        </w:tc>
        <w:tc>
          <w:tcPr>
            <w:tcW w:w="415"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①是否将项目绩效目标细化分解为具体的绩效指标</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2分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②是否通过清晰、可衡量的指标值予以体现</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③是否与项目目标任务数或计划数相对应</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1.5分</w:t>
            </w:r>
            <w:r>
              <w:rPr>
                <w:rFonts w:hint="eastAsia" w:ascii="方正书宋简体" w:hAnsi="黑体" w:eastAsia="方正书宋简体" w:cs="宋体"/>
                <w:color w:val="000000"/>
                <w:kern w:val="0"/>
                <w:szCs w:val="21"/>
                <w:lang w:eastAsia="zh-CN"/>
              </w:rPr>
              <w:t>）</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资金投入</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预算编制科学性</w:t>
            </w:r>
          </w:p>
        </w:tc>
        <w:tc>
          <w:tcPr>
            <w:tcW w:w="415" w:type="pct"/>
            <w:shd w:val="clear" w:color="auto"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①预算编制是否经过科学论证</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0.6分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②预算内容与项目内容是否匹配</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0.7分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③预算额度测算依据是否充分，是否按照标准编制</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0.6分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④预算确定的项目投资额或资金量是否与工作任务相匹配</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0.6分</w:t>
            </w:r>
            <w:r>
              <w:rPr>
                <w:rFonts w:hint="eastAsia" w:ascii="方正书宋简体" w:hAnsi="黑体" w:eastAsia="方正书宋简体" w:cs="宋体"/>
                <w:color w:val="000000"/>
                <w:kern w:val="0"/>
                <w:szCs w:val="21"/>
                <w:lang w:eastAsia="zh-CN"/>
              </w:rPr>
              <w:t>）</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资金分配合理性</w:t>
            </w:r>
          </w:p>
        </w:tc>
        <w:tc>
          <w:tcPr>
            <w:tcW w:w="415" w:type="pct"/>
            <w:shd w:val="clear" w:color="auto"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①预算资金分配依据是否充分</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②资金分配额度是否合理，与项目单位或地方实际是否相适应</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519" w:type="pct"/>
            <w:vMerge w:val="restart"/>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过程</w:t>
            </w:r>
          </w:p>
          <w:p>
            <w:pPr>
              <w:spacing w:line="240" w:lineRule="exact"/>
              <w:jc w:val="both"/>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15分</w:t>
            </w:r>
            <w:r>
              <w:rPr>
                <w:rFonts w:hint="eastAsia" w:ascii="方正书宋简体" w:hAnsi="黑体" w:eastAsia="方正书宋简体" w:cs="宋体"/>
                <w:color w:val="000000"/>
                <w:kern w:val="0"/>
                <w:szCs w:val="21"/>
                <w:lang w:eastAsia="zh-CN"/>
              </w:rPr>
              <w:t>）</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58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资金管理</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10分</w:t>
            </w:r>
            <w:r>
              <w:rPr>
                <w:rFonts w:hint="eastAsia" w:ascii="方正书宋简体" w:hAnsi="黑体" w:eastAsia="方正书宋简体" w:cs="宋体"/>
                <w:color w:val="000000"/>
                <w:kern w:val="0"/>
                <w:szCs w:val="21"/>
                <w:lang w:eastAsia="zh-CN"/>
              </w:rPr>
              <w:t>）</w:t>
            </w: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资金到位率</w:t>
            </w:r>
          </w:p>
        </w:tc>
        <w:tc>
          <w:tcPr>
            <w:tcW w:w="415" w:type="pct"/>
            <w:shd w:val="clear" w:color="000000"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资金到位率=（实际到位资金/预算资金）×100%。</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2.5分）</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预算执行率</w:t>
            </w:r>
          </w:p>
        </w:tc>
        <w:tc>
          <w:tcPr>
            <w:tcW w:w="415" w:type="pct"/>
            <w:shd w:val="clear" w:color="auto"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预算执行率=（实际支出资金/实际到位资金）×100%。</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2.5分）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资金使用合规性</w:t>
            </w:r>
          </w:p>
        </w:tc>
        <w:tc>
          <w:tcPr>
            <w:tcW w:w="415"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①是否符合国家财经法规和财务管理制度以及有关专项资金管理办法的规定</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②资金的拨付是否有完整的审批程序和手续</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③是否符合项目预算批复或合同规定的用途</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④是否存在截留、挤占、挪用、虚列支出等情况</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组织实施</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管理制度健全性</w:t>
            </w:r>
          </w:p>
        </w:tc>
        <w:tc>
          <w:tcPr>
            <w:tcW w:w="415" w:type="pct"/>
            <w:shd w:val="clear" w:color="000000"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①是否已制定或具有相应的财务和业务管理制度</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②财务和业务管理制度是否合法、合规、完整</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制度执行有效性</w:t>
            </w:r>
          </w:p>
        </w:tc>
        <w:tc>
          <w:tcPr>
            <w:tcW w:w="415" w:type="pct"/>
            <w:shd w:val="clear" w:color="000000"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①是否遵守相关法律法规和相关管理规定</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0.6分</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rPr>
              <w:t>②项目调整及支出调整手续是否完备</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0.6分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③项目合同书、验收报告、技术鉴定等资料是否齐全并及时归档</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0.6分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④项目实施的人员条件、场地设备、信息支撑等是否落实到位</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0.6分</w:t>
            </w:r>
            <w:r>
              <w:rPr>
                <w:rFonts w:hint="eastAsia" w:ascii="方正书宋简体" w:hAnsi="黑体" w:eastAsia="方正书宋简体" w:cs="宋体"/>
                <w:color w:val="000000"/>
                <w:kern w:val="0"/>
                <w:szCs w:val="21"/>
                <w:lang w:eastAsia="zh-CN"/>
              </w:rPr>
              <w:t>）</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19"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w:t>
            </w:r>
          </w:p>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30分</w:t>
            </w:r>
            <w:r>
              <w:rPr>
                <w:rFonts w:hint="eastAsia" w:ascii="方正书宋简体" w:hAnsi="黑体" w:eastAsia="方正书宋简体" w:cs="宋体"/>
                <w:color w:val="000000"/>
                <w:kern w:val="0"/>
                <w:szCs w:val="21"/>
                <w:lang w:eastAsia="zh-CN"/>
              </w:rPr>
              <w:t>）</w:t>
            </w:r>
          </w:p>
        </w:tc>
        <w:tc>
          <w:tcPr>
            <w:tcW w:w="58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产出数量</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10分</w:t>
            </w:r>
            <w:r>
              <w:rPr>
                <w:rFonts w:hint="eastAsia" w:ascii="方正书宋简体" w:hAnsi="黑体" w:eastAsia="方正书宋简体" w:cs="宋体"/>
                <w:color w:val="000000"/>
                <w:kern w:val="0"/>
                <w:szCs w:val="21"/>
                <w:lang w:eastAsia="zh-CN"/>
              </w:rPr>
              <w:t>）</w:t>
            </w: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中央电视台文旅宣传投放2个频道数</w:t>
            </w:r>
          </w:p>
        </w:tc>
        <w:tc>
          <w:tcPr>
            <w:tcW w:w="415"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0.7</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南昌日报、南昌电视台、地铁电视专栏宣传1年</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机场、火车站宣传共12个月</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天下英雄城、文化南昌公众号运营1年</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省、市旅发大会宣传和广告投放1年</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完成2项自媒体宣传</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组织参加2个中国红色旅游博览会活动</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default" w:ascii="方正书宋简体" w:hAnsi="黑体" w:eastAsia="方正书宋简体" w:cs="宋体"/>
                <w:color w:val="000000"/>
                <w:kern w:val="0"/>
                <w:szCs w:val="21"/>
                <w:lang w:val="en-US" w:eastAsia="zh-CN"/>
              </w:rPr>
              <w:t>邀请重要媒体、旅行商来南昌考察踩线1次</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开展国内重点目标市场宣传推介会14场</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完成1个3A级以上旅游景区道路标识规划数</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对符合奖励的12家“天下英雄城·南昌礼物”旗舰店进行补助奖励</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开展“南昌市旅游景区（点）建设补助项目”15家景区（点）</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完成2次对省文化和旅游消费月活动补助</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评定18家旅行社、旅游饭店品牌奖</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对符合奖励的3家单位给予资金兑现</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对符合奖励的10余个商品给予资金兑现</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完成旅游客源招徕、包机、专列奖励4次</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向移动、电信、联通等3家运营商购买短信</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建设南昌市全域旅游数字化服务平台1项</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完成4批次导游员换证物资采购</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1年完成旅游人才培训3期</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开展6场齐白石书画作品展览相关活动</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完成13次新四军统战展等系列巡展</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风景这边独好——江西省名家邀请展展出60幅参展作品</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文物征集线上宣传推广12次</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开展4次我们的节日进社区、学校宣传展示活动</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发放消费券活动1项</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对75场夜市进行扶持</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开展30个基层综合文化服务中心建设</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开展2项南昌市政府购买公共文化服务</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租赁办公室排练场地1160平方米</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开展5项南昌市小平小道陈云旧居陈列馆馆舍维修及配套设施维修</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智慧文旅指挥调度监测系统运行1年</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南昌市文化广电新闻出版综合监管系统运行1年</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打造南昌采茶戏精品剧目《南瓜记》1部</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庆祝建党100周年精品工程《剧本创作》</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开展2020年中国戏曲剧种全集——南昌采茶戏</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完成48件文物征集</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监控安防系统1套</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2020年江西广播电视台·旅游频道</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2020年滕王阁游轮夜游及各类活动</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对符合奖励的6位讲解员进行奖励配套，并兑现奖励1次</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制作雕塑作品1座，场景布置1套</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文化广电新闻出版平台运维5个系统的运行与维护</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开展2020年一事一议项目</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委托第三方机构进行文化和旅游综合环境考核12次</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建立完善的空调多联机系统1套</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“南昌旅游一卡通”项目运营1年</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长沙旅游招商推介第5、8版专版宣传</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更换2套八大山人纪念馆真迹馆第三展厅展柜玻璃及灯光设备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举办临时展览2次，官网宣传视频制作1部</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完成30个4A级以上旅游景区旅游标识</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拍摄抖音35条及5个宣传视频</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2020年度博物馆“书画艺委会”书画名家捐赠书画特展经费</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文创产品开发10款</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2020年度南昌舰景区项目</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2020年度非国有博物馆扶持项目</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村内路面沥清改造500米、排水沟改造500米及村庄风貌提升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小红楼建筑面积450平方米，红色文化墙200米，毛主席石雕像一尊</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停车场2000平米，及大型显示屏1个</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2020年度全市旅发大会会议执行活动采购项目</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书画协会装修面积350平米</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2019年延续项目——庆祝建国70周年暨八大山人纪念馆建馆60周年故宫典藏特展项目</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产出质量</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10分</w:t>
            </w:r>
            <w:r>
              <w:rPr>
                <w:rFonts w:hint="eastAsia" w:ascii="方正书宋简体" w:hAnsi="黑体" w:eastAsia="方正书宋简体" w:cs="宋体"/>
                <w:color w:val="000000"/>
                <w:kern w:val="0"/>
                <w:szCs w:val="21"/>
                <w:lang w:eastAsia="zh-CN"/>
              </w:rPr>
              <w:t>）</w:t>
            </w: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中央电视台文旅宣传投放按政府采购程序执行</w:t>
            </w:r>
          </w:p>
        </w:tc>
        <w:tc>
          <w:tcPr>
            <w:tcW w:w="415"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0.7</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南昌日报、南昌电视台、地铁电视宣传专栏按政府采购程序执行</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机场、火车站宣传按政府采购程序执行</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公众号运营按政府采购程序执行</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省、市旅发大会宣传和广告投放按政府采购程序执行</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自媒体宣传按政府采购程序执行</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符合优秀红色文创产品标准的企业</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境内外媒体、旅行商踩线按政府采购程序执行</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国内重点目标市场宣传推介按政府采购程序执行</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3A级以上旅游景区道路标识规划任务完成</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打造“天下英雄城·南昌礼物”品牌</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符合获得国家A级资质或经市旅游行政管理部门授牌命名的旅游景区（点）建设项目的企业才能获得补助</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活动完成率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品牌奖评定符合相关标准</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打造更多精品旅游景区</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推动打造更多优质旅游商品</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按审计情况据实执行</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南昌旅游欢迎短信推送准确率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平台运行稳定率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导游员换证合格率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培训人员合格率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活动完成率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展品安全保障率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参展作品合格率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系列活动成功率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民俗文化活动成功率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根据《南昌市人民政府关于打好“组合拳”提振文化旅游消费的通知》执行</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夜市活动完成率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基层综合文化服务中心建设任务完成</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各项公共文化服务任务完成</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场地符合单位办公排练要求</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维修验收合格率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系统软、硬件符合要求，运行正常。</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监管系统软、硬件符合要求，运行正常。</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演出成功率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专家评审合格率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戏曲专家论证通过率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真品达标率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监控安防系统验收合格率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旅游节目播放覆盖率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开展滕王阁各类活动记录完成率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更好地讲好南昌红色旅游故事</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雕塑作品验收合格率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微波中心平台运行稳定率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免费开放正常运行率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组织考核完成率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空调多联机验收合格率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售卡目标任务完成率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对外印发完成率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设备更换验收合格率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公共服务提升及宣传推广服务合格率98%以上</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4A级以上旅游景区旅游标识数量任务完成</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宣传视频覆盖率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博物馆“书画艺委会”书画名家捐赠书画特展活动成功率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文创产品开发完成率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景区开放安全运行率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非国有博物馆扶持项目验收合格率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四项建设验收合格率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三项建设验收合格率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民宿项目保质保量完成</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全市旅发大会会议执行活动按政府采购程序执行</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书画协会装修验收合格率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举办文化传播系列活动完成率</w:t>
            </w:r>
          </w:p>
        </w:tc>
        <w:tc>
          <w:tcPr>
            <w:tcW w:w="415"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restart"/>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产出时效</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2020年12月31日前</w:t>
            </w:r>
          </w:p>
        </w:tc>
        <w:tc>
          <w:tcPr>
            <w:tcW w:w="415"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1</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时效及时率</w:t>
            </w:r>
            <w:r>
              <w:rPr>
                <w:rFonts w:hint="eastAsia" w:ascii="方正书宋简体" w:hAnsi="黑体" w:eastAsia="方正书宋简体" w:cs="宋体"/>
                <w:color w:val="000000"/>
                <w:kern w:val="0"/>
                <w:szCs w:val="21"/>
              </w:rPr>
              <w:t>=（</w:t>
            </w:r>
            <w:r>
              <w:rPr>
                <w:rFonts w:hint="eastAsia" w:ascii="方正书宋简体" w:hAnsi="黑体" w:eastAsia="方正书宋简体" w:cs="宋体"/>
                <w:color w:val="000000"/>
                <w:kern w:val="0"/>
                <w:szCs w:val="21"/>
                <w:lang w:val="en-US" w:eastAsia="zh-CN"/>
              </w:rPr>
              <w:t>时效</w:t>
            </w:r>
            <w:r>
              <w:rPr>
                <w:rFonts w:hint="eastAsia" w:ascii="方正书宋简体" w:hAnsi="黑体" w:eastAsia="方正书宋简体" w:cs="宋体"/>
                <w:color w:val="000000"/>
                <w:kern w:val="0"/>
                <w:szCs w:val="21"/>
              </w:rPr>
              <w:t>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得分=时效及时率*分值权重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电视宣传专栏招标及时率</w:t>
            </w:r>
          </w:p>
        </w:tc>
        <w:tc>
          <w:tcPr>
            <w:tcW w:w="415"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时效及时率</w:t>
            </w:r>
            <w:r>
              <w:rPr>
                <w:rFonts w:hint="eastAsia" w:ascii="方正书宋简体" w:hAnsi="黑体" w:eastAsia="方正书宋简体" w:cs="宋体"/>
                <w:color w:val="000000"/>
                <w:kern w:val="0"/>
                <w:szCs w:val="21"/>
              </w:rPr>
              <w:t>=（</w:t>
            </w:r>
            <w:r>
              <w:rPr>
                <w:rFonts w:hint="eastAsia" w:ascii="方正书宋简体" w:hAnsi="黑体" w:eastAsia="方正书宋简体" w:cs="宋体"/>
                <w:color w:val="000000"/>
                <w:kern w:val="0"/>
                <w:szCs w:val="21"/>
                <w:lang w:val="en-US" w:eastAsia="zh-CN"/>
              </w:rPr>
              <w:t>时效</w:t>
            </w:r>
            <w:r>
              <w:rPr>
                <w:rFonts w:hint="eastAsia" w:ascii="方正书宋简体" w:hAnsi="黑体" w:eastAsia="方正书宋简体" w:cs="宋体"/>
                <w:color w:val="000000"/>
                <w:kern w:val="0"/>
                <w:szCs w:val="21"/>
              </w:rPr>
              <w:t>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得分=时效及时率*分值权重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机场、火车站宣传招标及时率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时效及时率</w:t>
            </w:r>
            <w:r>
              <w:rPr>
                <w:rFonts w:hint="eastAsia" w:ascii="方正书宋简体" w:hAnsi="黑体" w:eastAsia="方正书宋简体" w:cs="宋体"/>
                <w:color w:val="000000"/>
                <w:kern w:val="0"/>
                <w:szCs w:val="21"/>
              </w:rPr>
              <w:t>=（</w:t>
            </w:r>
            <w:r>
              <w:rPr>
                <w:rFonts w:hint="eastAsia" w:ascii="方正书宋简体" w:hAnsi="黑体" w:eastAsia="方正书宋简体" w:cs="宋体"/>
                <w:color w:val="000000"/>
                <w:kern w:val="0"/>
                <w:szCs w:val="21"/>
                <w:lang w:val="en-US" w:eastAsia="zh-CN"/>
              </w:rPr>
              <w:t>时效</w:t>
            </w:r>
            <w:r>
              <w:rPr>
                <w:rFonts w:hint="eastAsia" w:ascii="方正书宋简体" w:hAnsi="黑体" w:eastAsia="方正书宋简体" w:cs="宋体"/>
                <w:color w:val="000000"/>
                <w:kern w:val="0"/>
                <w:szCs w:val="21"/>
              </w:rPr>
              <w:t>产出数/实际产出数）×100%。</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公众号招标及时率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得分=时效及时率*分值权重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省、市旅发大会宣传和广告投放招标及时率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时效及时率</w:t>
            </w:r>
            <w:r>
              <w:rPr>
                <w:rFonts w:hint="eastAsia" w:ascii="方正书宋简体" w:hAnsi="黑体" w:eastAsia="方正书宋简体" w:cs="宋体"/>
                <w:color w:val="000000"/>
                <w:kern w:val="0"/>
                <w:szCs w:val="21"/>
              </w:rPr>
              <w:t>=（</w:t>
            </w:r>
            <w:r>
              <w:rPr>
                <w:rFonts w:hint="eastAsia" w:ascii="方正书宋简体" w:hAnsi="黑体" w:eastAsia="方正书宋简体" w:cs="宋体"/>
                <w:color w:val="000000"/>
                <w:kern w:val="0"/>
                <w:szCs w:val="21"/>
                <w:lang w:val="en-US" w:eastAsia="zh-CN"/>
              </w:rPr>
              <w:t>时效</w:t>
            </w:r>
            <w:r>
              <w:rPr>
                <w:rFonts w:hint="eastAsia" w:ascii="方正书宋简体" w:hAnsi="黑体" w:eastAsia="方正书宋简体" w:cs="宋体"/>
                <w:color w:val="000000"/>
                <w:kern w:val="0"/>
                <w:szCs w:val="21"/>
              </w:rPr>
              <w:t>产出数/实际产出数）×100%。</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自媒体宣传招标及时率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得分=时效及时率*分值权重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境内外媒体、旅行商踩线招标及时率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时效及时率</w:t>
            </w:r>
            <w:r>
              <w:rPr>
                <w:rFonts w:hint="eastAsia" w:ascii="方正书宋简体" w:hAnsi="黑体" w:eastAsia="方正书宋简体" w:cs="宋体"/>
                <w:color w:val="000000"/>
                <w:kern w:val="0"/>
                <w:szCs w:val="21"/>
              </w:rPr>
              <w:t>=（</w:t>
            </w:r>
            <w:r>
              <w:rPr>
                <w:rFonts w:hint="eastAsia" w:ascii="方正书宋简体" w:hAnsi="黑体" w:eastAsia="方正书宋简体" w:cs="宋体"/>
                <w:color w:val="000000"/>
                <w:kern w:val="0"/>
                <w:szCs w:val="21"/>
                <w:lang w:val="en-US" w:eastAsia="zh-CN"/>
              </w:rPr>
              <w:t>时效</w:t>
            </w:r>
            <w:r>
              <w:rPr>
                <w:rFonts w:hint="eastAsia" w:ascii="方正书宋简体" w:hAnsi="黑体" w:eastAsia="方正书宋简体" w:cs="宋体"/>
                <w:color w:val="000000"/>
                <w:kern w:val="0"/>
                <w:szCs w:val="21"/>
              </w:rPr>
              <w:t>产出数/实际产出数）×100%。</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国内重点目标市场宣传推介招标及时率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得分=时效及时率*分值权重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参展作品创作及时率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时效及时率</w:t>
            </w:r>
            <w:r>
              <w:rPr>
                <w:rFonts w:hint="eastAsia" w:ascii="方正书宋简体" w:hAnsi="黑体" w:eastAsia="方正书宋简体" w:cs="宋体"/>
                <w:color w:val="000000"/>
                <w:kern w:val="0"/>
                <w:szCs w:val="21"/>
              </w:rPr>
              <w:t>=（</w:t>
            </w:r>
            <w:r>
              <w:rPr>
                <w:rFonts w:hint="eastAsia" w:ascii="方正书宋简体" w:hAnsi="黑体" w:eastAsia="方正书宋简体" w:cs="宋体"/>
                <w:color w:val="000000"/>
                <w:kern w:val="0"/>
                <w:szCs w:val="21"/>
                <w:lang w:val="en-US" w:eastAsia="zh-CN"/>
              </w:rPr>
              <w:t>时效</w:t>
            </w:r>
            <w:r>
              <w:rPr>
                <w:rFonts w:hint="eastAsia" w:ascii="方正书宋简体" w:hAnsi="黑体" w:eastAsia="方正书宋简体" w:cs="宋体"/>
                <w:color w:val="000000"/>
                <w:kern w:val="0"/>
                <w:szCs w:val="21"/>
              </w:rPr>
              <w:t>产出数/实际产出数）×100%。</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产出成本</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tc>
        <w:tc>
          <w:tcPr>
            <w:tcW w:w="703"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扶持文化与旅游产业发展成本控制率100%</w:t>
            </w:r>
          </w:p>
        </w:tc>
        <w:tc>
          <w:tcPr>
            <w:tcW w:w="415"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成本控制率</w:t>
            </w:r>
            <w:r>
              <w:rPr>
                <w:rFonts w:hint="eastAsia" w:ascii="方正书宋简体" w:hAnsi="黑体" w:eastAsia="方正书宋简体" w:cs="宋体"/>
                <w:color w:val="000000"/>
                <w:kern w:val="0"/>
                <w:szCs w:val="21"/>
              </w:rPr>
              <w:t>=（</w:t>
            </w:r>
            <w:r>
              <w:rPr>
                <w:rFonts w:hint="eastAsia" w:ascii="方正书宋简体" w:hAnsi="黑体" w:eastAsia="方正书宋简体" w:cs="宋体"/>
                <w:color w:val="000000"/>
                <w:kern w:val="0"/>
                <w:szCs w:val="21"/>
                <w:lang w:val="en-US" w:eastAsia="zh-CN"/>
              </w:rPr>
              <w:t>成本计划</w:t>
            </w:r>
            <w:r>
              <w:rPr>
                <w:rFonts w:hint="eastAsia" w:ascii="方正书宋简体" w:hAnsi="黑体" w:eastAsia="方正书宋简体" w:cs="宋体"/>
                <w:color w:val="000000"/>
                <w:kern w:val="0"/>
                <w:szCs w:val="21"/>
              </w:rPr>
              <w:t>数/实际</w:t>
            </w:r>
            <w:r>
              <w:rPr>
                <w:rFonts w:hint="eastAsia" w:ascii="方正书宋简体" w:hAnsi="黑体" w:eastAsia="方正书宋简体" w:cs="宋体"/>
                <w:color w:val="000000"/>
                <w:kern w:val="0"/>
                <w:szCs w:val="21"/>
                <w:lang w:val="en-US" w:eastAsia="zh-CN"/>
              </w:rPr>
              <w:t>支出</w:t>
            </w:r>
            <w:r>
              <w:rPr>
                <w:rFonts w:hint="eastAsia" w:ascii="方正书宋简体" w:hAnsi="黑体" w:eastAsia="方正书宋简体" w:cs="宋体"/>
                <w:color w:val="000000"/>
                <w:kern w:val="0"/>
                <w:szCs w:val="21"/>
              </w:rPr>
              <w:t>数）×100%。</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成本控制率≤100%得满分，超出5%得0分</w:t>
            </w:r>
          </w:p>
        </w:tc>
        <w:tc>
          <w:tcPr>
            <w:tcW w:w="419"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效益</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30分</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rPr>
              <w:t>　</w:t>
            </w:r>
          </w:p>
        </w:tc>
        <w:tc>
          <w:tcPr>
            <w:tcW w:w="58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经济效益</w:t>
            </w:r>
          </w:p>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rPr>
              <w:t>　</w:t>
            </w: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参展企业当场售卖产品</w:t>
            </w:r>
          </w:p>
        </w:tc>
        <w:tc>
          <w:tcPr>
            <w:tcW w:w="415"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把旅游商品培育成为我市新的旅游经济增长点</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引导景区加大建设投入</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引导企业开发更多更优的对旅游商品</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通过基层综合文化服务中心建设，为广大群众提供了文化服务的场所，满足了群众日益增长的文化需求。</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文创营业额日均5000元</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增加游客500人次，增加门票餐饮收入20%</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有利于提升溪霞镇旅游民宿知名度</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社会效益</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10分</w:t>
            </w:r>
            <w:r>
              <w:rPr>
                <w:rFonts w:hint="eastAsia" w:ascii="方正书宋简体" w:hAnsi="黑体" w:eastAsia="方正书宋简体" w:cs="宋体"/>
                <w:color w:val="000000"/>
                <w:kern w:val="0"/>
                <w:szCs w:val="21"/>
                <w:lang w:eastAsia="zh-CN"/>
              </w:rPr>
              <w:t>）</w:t>
            </w: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进一步提升“天下英雄城”品牌影响力和辐射面，加强了城市品牌知名度和认可度，在省内形成了良好的宣传示范效应。</w:t>
            </w:r>
          </w:p>
        </w:tc>
        <w:tc>
          <w:tcPr>
            <w:tcW w:w="415"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社会公众参与程度</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全面展示我市新时代红色旅游发展成果</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通过旅游景区道路标识建设，从而为游客提供导览清晰的旅游交通指向，引导游客顺利完成旅游活动。</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更好地展示“天下英雄城·南昌礼物”，方便游客购买</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景区基础设施不断完善，接待能力不断提升</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繁荣文化和旅游市场，促进消费升级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提升南昌市旅游饭店和旅行社的社会影响力，群众知晓率</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打造更多精品景区，为游客提供优质旅游产品。</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支持我市旅游商品做大做强，为游客提供优质的旅游商品。</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促进南昌市旅游业的发展，充分发挥旅游专项奖励资金对南昌旅游产业的拉动作用</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让来昌旅游者在第一时间通过手机了解南昌旅游资讯，进一步提升我市旅游形象。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提升我市智慧旅游服务水平</w:t>
            </w:r>
          </w:p>
          <w:p>
            <w:pPr>
              <w:widowControl/>
              <w:spacing w:line="240" w:lineRule="exact"/>
              <w:jc w:val="both"/>
              <w:rPr>
                <w:rFonts w:hint="eastAsia" w:ascii="方正书宋简体" w:hAnsi="黑体" w:eastAsia="方正书宋简体" w:cs="宋体"/>
                <w:color w:val="000000"/>
                <w:kern w:val="0"/>
                <w:szCs w:val="21"/>
                <w:lang w:val="en-US" w:eastAsia="zh-CN"/>
              </w:rPr>
            </w:pP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保障导游员队伍建设</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培养更多的旅游高素质人才</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展览到馆参观人数10万</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有利于红色文化的传播与交流，有利于爱国主义教育的普及与宣传</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丰富市民文化生活</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社会公众参与程度</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参观活动人次2000人</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繁荣文化和旅游市场，促进消费升级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弘扬本土戏剧文化，活跃群众文化生活</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通过基层综合文化服务中心建设，为广大群众提供了文化服务的场所，满足了群众日益增长的文化需求。</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通过组织送戏、送书下乡和组织丰富多彩的文化活动弘扬了社会主义核心价值，丰富了广大群众的文化生活。</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解决工作排练场地，职工安心工作</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提高小平小道陈云旧居陈列馆的社会影响力</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旅游大数据指挥调度监测平台，既满足当前旅游管理、宣传推广、体验的实际诉求和发展创新的切实需求，也提升公众服务体验、提升政府行业监管能力，促进南昌市旅游产业加速发展</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全面提高我市文化广电事业监测监管能力和服务水平，确保文化广播电视内容、技术安全，为党的宣传服务、为政府管理服务、为安全播出服务、为广播电视用户服务。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传承传统文化，活跃城乡群众文化生活</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提高南昌采茶戏戏曲艺术的创作、研究和推广</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陈展参观达15000人次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观众参观人数达25000人次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提升了“天下英雄城”品牌影响力</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接待人次达10000人次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我市红色旅游讲解员队伍更加优秀</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市级以上媒体报道2次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全面提高我市文化广电事业监测监管能力和服务水平，确保文化广播电视内容、技术安全，为党的宣传服务、为政府管理服务、为安全播出服务、为广播电视用户服务。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全面提升我市文化旅游发展全面性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全面提升城市功能与品质，不断增强人民群众的获得感、幸福感、安全感。</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提高小平小道陈云旧居陈列馆的社会影响力</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提升南昌旅游一卡通的社会影响力，群众知晓率</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繁荣文化和旅游市场，促进消费升级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提升藏品展示效果，提高文物安保措施</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全年到馆参观人数30.5万人/次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通过旅游标识建设，从而为游客提供导览清晰的旅游交通指向，引导游客顺利完成旅游活动。</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抖音关注人数</w:t>
            </w:r>
            <w:r>
              <w:rPr>
                <w:rFonts w:hint="default" w:ascii="方正书宋简体" w:hAnsi="黑体" w:eastAsia="方正书宋简体" w:cs="宋体"/>
                <w:color w:val="000000"/>
                <w:kern w:val="0"/>
                <w:szCs w:val="21"/>
                <w:lang w:val="en-US" w:eastAsia="zh-CN"/>
              </w:rPr>
              <w:t>≥</w:t>
            </w:r>
            <w:r>
              <w:rPr>
                <w:rFonts w:hint="eastAsia" w:ascii="方正书宋简体" w:hAnsi="黑体" w:eastAsia="方正书宋简体" w:cs="宋体"/>
                <w:color w:val="000000"/>
                <w:kern w:val="0"/>
                <w:szCs w:val="21"/>
                <w:lang w:val="en-US" w:eastAsia="zh-CN"/>
              </w:rPr>
              <w:t>1万</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通过公众号等平台持续宣传更新</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提升“南昌礼物”品牌社会影响力，群众知晓率</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场馆开放及人数达10000人次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引导社会力量积极申办非国有博物馆，促进全市博物馆事业发展。</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增强农民拥护党、热爱社会主义理念</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场馆免开惠及人数达10000人次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提升整个溪霞镇旅游民宿的发展</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全面部署旅游产业发展工作，提升南昌文化旅游城市形象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保障提升安全率</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展览到馆参观人数10万人次</w:t>
            </w:r>
          </w:p>
        </w:tc>
        <w:tc>
          <w:tcPr>
            <w:tcW w:w="415"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生态效益</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维修维护环保材料采用率100%</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可持续效益</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10分</w:t>
            </w:r>
            <w:r>
              <w:rPr>
                <w:rFonts w:hint="eastAsia" w:ascii="方正书宋简体" w:hAnsi="黑体" w:eastAsia="方正书宋简体" w:cs="宋体"/>
                <w:color w:val="000000"/>
                <w:kern w:val="0"/>
                <w:szCs w:val="21"/>
                <w:lang w:eastAsia="zh-CN"/>
              </w:rPr>
              <w:t>）</w:t>
            </w: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项目持续发挥作用的期限≥1年</w:t>
            </w:r>
          </w:p>
        </w:tc>
        <w:tc>
          <w:tcPr>
            <w:tcW w:w="415"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推动红色旅游高质量发展</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景区道路标识功能的持续性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提升“天下英雄城·南昌礼物”品牌知名度和影响力</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推动旅游景区高质量发展</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我市A级旅游景区品牌总数保持增长趋势。</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我市旅游商品品牌影响力更大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项目具有可复制性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推动红色文化的可持续发展</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未来两年通过公众号等平台持续宣传更新</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项目可复制性，提高传统文化影响力</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不断促进文化和旅游消费热情</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持续提升群众精神文明需求</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基层综合文化服务中心、服务功能可持续性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图书和文化活动服务功能可持续性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租赁场地可长期使用</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项目具有可持续性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项目实施对旅游行业的决策、监管和执法产生的影响</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项目实施提升全市文化、广电、新闻出版行业的服务、监管和执法</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创作剧目可连续三年进行社会演出</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促进传统戏曲艺术的创造性和创新性发展</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可持续促进这一时期文物的研究，形成影像资料</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对古建、展厅、库房的保护</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江西广播电视台·旅游频道项目持续发挥作</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游客观赏能力显著提升</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推动红色旅游高质量发展</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项目实施对文化、广电、新闻出版行业的监管和执法产生的影响</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不断提升我市文化旅游规模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提高观众对小平小道陈云旧居陈列馆的满意度</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项目持续发挥作用期限≥2年</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不断促进文化和旅游消费热情</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设备服务功能可持续性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小平小道陈云旧居陈列馆公共服务提升及宣传推广服务项目可复制性、持续性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旅游标识功能的持续性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对外宣传经费缺口专项目可复制性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文创开发项目持续发挥作用期限</w:t>
            </w:r>
            <w:r>
              <w:rPr>
                <w:rFonts w:hint="default" w:ascii="方正书宋简体" w:hAnsi="黑体" w:eastAsia="方正书宋简体" w:cs="宋体"/>
                <w:color w:val="000000"/>
                <w:kern w:val="0"/>
                <w:szCs w:val="21"/>
                <w:lang w:val="en-US" w:eastAsia="zh-CN"/>
              </w:rPr>
              <w:t>≥</w:t>
            </w:r>
            <w:r>
              <w:rPr>
                <w:rFonts w:hint="eastAsia" w:ascii="方正书宋简体" w:hAnsi="黑体" w:eastAsia="方正书宋简体" w:cs="宋体"/>
                <w:color w:val="000000"/>
                <w:kern w:val="0"/>
                <w:szCs w:val="21"/>
                <w:lang w:val="en-US" w:eastAsia="zh-CN"/>
              </w:rPr>
              <w:t>5年</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参览者文化鉴赏能力提升，物业管理制度及方式更新</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促进了费国有博物馆事业持续发展</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引导农村文化生活长期建设</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防控安全率</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解决了游客停车困难</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房屋安全率</w:t>
            </w:r>
          </w:p>
        </w:tc>
        <w:tc>
          <w:tcPr>
            <w:tcW w:w="415"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0.98</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满意度</w:t>
            </w:r>
          </w:p>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tc>
        <w:tc>
          <w:tcPr>
            <w:tcW w:w="58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社会公众或服务对象满意度</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tc>
        <w:tc>
          <w:tcPr>
            <w:tcW w:w="703"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社会群众满意度95%</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社会舆论好评率95%</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580" w:type="pct"/>
            <w:gridSpan w:val="5"/>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总分</w:t>
            </w:r>
          </w:p>
        </w:tc>
        <w:tc>
          <w:tcPr>
            <w:tcW w:w="419" w:type="pct"/>
            <w:shd w:val="clear" w:color="auto"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97.14</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D764D"/>
    <w:rsid w:val="6C5D7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2021-09-29T05:44:00Z</dcterms:created>
  <dc:creator>用友刘志超15070895960</dc:creator>
  <cp:lastModifiedBy>用友刘志超15070895960</cp:lastModifiedBy>
  <dcterms:modified xsi:type="dcterms:W3CDTF">2021-09-29T05:44:26Z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5A2A5232E4314F2489F450031911FCD8</vt:lpwstr>
  </property>
</Properties>
</file>