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Arial"/>
          <w:bCs/>
          <w:color w:val="000000"/>
          <w:sz w:val="32"/>
          <w:szCs w:val="32"/>
        </w:rPr>
      </w:pPr>
      <w:r>
        <w:rPr>
          <w:rFonts w:hint="eastAsia" w:ascii="黑体" w:hAnsi="宋体" w:eastAsia="黑体" w:cs="Arial"/>
          <w:bCs/>
          <w:color w:val="000000"/>
          <w:sz w:val="32"/>
          <w:szCs w:val="32"/>
        </w:rPr>
        <w:t>附件</w:t>
      </w:r>
      <w:r>
        <w:rPr>
          <w:rFonts w:hint="eastAsia" w:ascii="黑体" w:hAnsi="宋体" w:eastAsia="黑体" w:cs="Arial"/>
          <w:bCs/>
          <w:color w:val="000000"/>
          <w:sz w:val="32"/>
          <w:szCs w:val="32"/>
          <w:lang w:val="en-US" w:eastAsia="zh-CN"/>
        </w:rPr>
        <w:t>2</w:t>
      </w:r>
      <w:r>
        <w:rPr>
          <w:rFonts w:hint="eastAsia" w:ascii="黑体" w:hAnsi="宋体" w:eastAsia="黑体" w:cs="Arial"/>
          <w:bCs/>
          <w:color w:val="000000"/>
          <w:sz w:val="32"/>
          <w:szCs w:val="32"/>
        </w:rPr>
        <w:t>：</w:t>
      </w:r>
    </w:p>
    <w:p>
      <w:pPr>
        <w:autoSpaceDE w:val="0"/>
        <w:autoSpaceDN w:val="0"/>
        <w:adjustRightInd w:val="0"/>
        <w:jc w:val="center"/>
        <w:rPr>
          <w:rFonts w:hint="eastAsia" w:ascii="宋体" w:hAnsi="宋体" w:cs="等线"/>
          <w:b/>
          <w:bCs/>
          <w:sz w:val="44"/>
          <w:szCs w:val="44"/>
        </w:rPr>
      </w:pPr>
      <w:r>
        <w:rPr>
          <w:rFonts w:hint="eastAsia" w:ascii="宋体" w:hAnsi="宋体" w:cs="等线"/>
          <w:b/>
          <w:bCs/>
          <w:sz w:val="44"/>
          <w:szCs w:val="44"/>
        </w:rPr>
        <w:t>南昌市图书馆</w:t>
      </w:r>
    </w:p>
    <w:p>
      <w:pPr>
        <w:autoSpaceDE w:val="0"/>
        <w:autoSpaceDN w:val="0"/>
        <w:adjustRightInd w:val="0"/>
        <w:jc w:val="center"/>
        <w:rPr>
          <w:b/>
          <w:bCs/>
          <w:sz w:val="44"/>
          <w:szCs w:val="44"/>
        </w:rPr>
      </w:pPr>
      <w:r>
        <w:rPr>
          <w:rFonts w:hint="eastAsia" w:ascii="宋体" w:hAnsi="宋体" w:cs="等线"/>
          <w:b/>
          <w:bCs/>
          <w:sz w:val="44"/>
          <w:szCs w:val="44"/>
        </w:rPr>
        <w:t>20</w:t>
      </w:r>
      <w:r>
        <w:rPr>
          <w:rFonts w:hint="eastAsia" w:ascii="宋体" w:hAnsi="宋体" w:cs="等线"/>
          <w:b/>
          <w:bCs/>
          <w:sz w:val="44"/>
          <w:szCs w:val="44"/>
          <w:lang w:val="en-US" w:eastAsia="zh-CN"/>
        </w:rPr>
        <w:t>20</w:t>
      </w:r>
      <w:r>
        <w:rPr>
          <w:rFonts w:hint="eastAsia" w:ascii="宋体" w:hAnsi="宋体" w:cs="等线"/>
          <w:b/>
          <w:bCs/>
          <w:sz w:val="44"/>
          <w:szCs w:val="44"/>
        </w:rPr>
        <w:t>年度免费开放经费</w:t>
      </w:r>
      <w:r>
        <w:rPr>
          <w:rFonts w:hint="eastAsia" w:ascii="宋体" w:hAnsi="宋体" w:cs="等线"/>
          <w:b/>
          <w:bCs/>
          <w:sz w:val="44"/>
          <w:szCs w:val="44"/>
          <w:lang w:eastAsia="zh-CN"/>
        </w:rPr>
        <w:t>项目支出</w:t>
      </w:r>
      <w:r>
        <w:rPr>
          <w:rFonts w:hint="eastAsia"/>
          <w:b/>
          <w:bCs/>
          <w:sz w:val="44"/>
          <w:szCs w:val="44"/>
        </w:rPr>
        <w:t>绩效</w:t>
      </w:r>
      <w:r>
        <w:rPr>
          <w:rFonts w:hint="eastAsia"/>
          <w:b/>
          <w:bCs/>
          <w:sz w:val="44"/>
          <w:szCs w:val="44"/>
          <w:lang w:val="en-US" w:eastAsia="zh-CN"/>
        </w:rPr>
        <w:t>评价</w:t>
      </w:r>
      <w:r>
        <w:rPr>
          <w:rFonts w:hint="eastAsia"/>
          <w:b/>
          <w:bCs/>
          <w:sz w:val="44"/>
          <w:szCs w:val="44"/>
        </w:rPr>
        <w:t>报告</w:t>
      </w:r>
    </w:p>
    <w:p>
      <w:pPr>
        <w:autoSpaceDE w:val="0"/>
        <w:autoSpaceDN w:val="0"/>
        <w:adjustRightInd w:val="0"/>
        <w:spacing w:line="360" w:lineRule="auto"/>
        <w:jc w:val="center"/>
        <w:rPr>
          <w:rFonts w:hint="eastAsia" w:ascii="宋体" w:hAnsi="宋体"/>
          <w:b/>
          <w:bCs/>
          <w:sz w:val="44"/>
          <w:szCs w:val="44"/>
        </w:rPr>
      </w:pPr>
    </w:p>
    <w:p>
      <w:pPr>
        <w:ind w:firstLine="600" w:firstLineChars="200"/>
        <w:rPr>
          <w:rFonts w:hint="eastAsia" w:ascii="宋体" w:hAnsi="宋体" w:eastAsia="宋体" w:cs="宋体"/>
          <w:sz w:val="30"/>
          <w:szCs w:val="30"/>
        </w:rPr>
      </w:pPr>
      <w:r>
        <w:rPr>
          <w:rFonts w:hint="eastAsia" w:ascii="宋体" w:hAnsi="宋体" w:eastAsia="宋体" w:cs="等线"/>
          <w:sz w:val="30"/>
          <w:szCs w:val="30"/>
          <w:lang w:val="zh-CN"/>
        </w:rPr>
        <w:t>为了进一步加强和提高财政专项资金的管理和使用，</w:t>
      </w:r>
      <w:r>
        <w:rPr>
          <w:rFonts w:hint="eastAsia" w:ascii="宋体" w:hAnsi="宋体" w:eastAsia="宋体" w:cs="宋体"/>
          <w:sz w:val="30"/>
          <w:szCs w:val="30"/>
        </w:rPr>
        <w:t>根据《南昌市财政局关于开展20</w:t>
      </w:r>
      <w:r>
        <w:rPr>
          <w:rFonts w:hint="eastAsia" w:ascii="宋体" w:hAnsi="宋体" w:cs="宋体"/>
          <w:sz w:val="30"/>
          <w:szCs w:val="30"/>
          <w:lang w:val="en-US" w:eastAsia="zh-CN"/>
        </w:rPr>
        <w:t>21</w:t>
      </w:r>
      <w:r>
        <w:rPr>
          <w:rFonts w:hint="eastAsia" w:ascii="宋体" w:hAnsi="宋体" w:eastAsia="宋体" w:cs="宋体"/>
          <w:sz w:val="30"/>
          <w:szCs w:val="30"/>
        </w:rPr>
        <w:t>年度</w:t>
      </w:r>
      <w:r>
        <w:rPr>
          <w:rFonts w:hint="eastAsia" w:ascii="宋体" w:hAnsi="宋体" w:cs="宋体"/>
          <w:sz w:val="30"/>
          <w:szCs w:val="30"/>
          <w:lang w:val="en-US" w:eastAsia="zh-CN"/>
        </w:rPr>
        <w:t>预算绩效管理有关工作</w:t>
      </w:r>
      <w:r>
        <w:rPr>
          <w:rFonts w:hint="eastAsia" w:ascii="宋体" w:hAnsi="宋体" w:eastAsia="宋体" w:cs="宋体"/>
          <w:sz w:val="30"/>
          <w:szCs w:val="30"/>
        </w:rPr>
        <w:t>的通知》（洪财办[202</w:t>
      </w:r>
      <w:r>
        <w:rPr>
          <w:rFonts w:hint="eastAsia" w:ascii="宋体" w:hAnsi="宋体" w:cs="宋体"/>
          <w:sz w:val="30"/>
          <w:szCs w:val="30"/>
          <w:lang w:val="en-US" w:eastAsia="zh-CN"/>
        </w:rPr>
        <w:t>1</w:t>
      </w:r>
      <w:r>
        <w:rPr>
          <w:rFonts w:hint="eastAsia" w:ascii="宋体" w:hAnsi="宋体" w:eastAsia="宋体" w:cs="宋体"/>
          <w:sz w:val="30"/>
          <w:szCs w:val="30"/>
        </w:rPr>
        <w:t>]</w:t>
      </w:r>
      <w:r>
        <w:rPr>
          <w:rFonts w:hint="eastAsia" w:ascii="宋体" w:hAnsi="宋体" w:cs="宋体"/>
          <w:sz w:val="30"/>
          <w:szCs w:val="30"/>
          <w:lang w:val="en-US" w:eastAsia="zh-CN"/>
        </w:rPr>
        <w:t>7</w:t>
      </w:r>
      <w:r>
        <w:rPr>
          <w:rFonts w:hint="eastAsia" w:ascii="宋体" w:hAnsi="宋体" w:eastAsia="宋体" w:cs="宋体"/>
          <w:sz w:val="30"/>
          <w:szCs w:val="30"/>
        </w:rPr>
        <w:t>号）文件要求，</w:t>
      </w:r>
      <w:r>
        <w:rPr>
          <w:rFonts w:hint="eastAsia" w:ascii="宋体" w:hAnsi="宋体" w:eastAsia="宋体" w:cs="宋体"/>
          <w:sz w:val="30"/>
          <w:szCs w:val="30"/>
          <w:lang w:eastAsia="zh-CN"/>
        </w:rPr>
        <w:t>市图书馆</w:t>
      </w:r>
      <w:r>
        <w:rPr>
          <w:rFonts w:hint="eastAsia" w:ascii="宋体" w:hAnsi="宋体" w:eastAsia="宋体" w:cs="宋体"/>
          <w:sz w:val="30"/>
          <w:szCs w:val="30"/>
        </w:rPr>
        <w:t>开展了20</w:t>
      </w:r>
      <w:r>
        <w:rPr>
          <w:rFonts w:hint="eastAsia" w:ascii="宋体" w:hAnsi="宋体" w:cs="宋体"/>
          <w:sz w:val="30"/>
          <w:szCs w:val="30"/>
          <w:lang w:val="en-US" w:eastAsia="zh-CN"/>
        </w:rPr>
        <w:t>20</w:t>
      </w:r>
      <w:r>
        <w:rPr>
          <w:rFonts w:hint="eastAsia" w:ascii="宋体" w:hAnsi="宋体" w:eastAsia="宋体" w:cs="宋体"/>
          <w:sz w:val="30"/>
          <w:szCs w:val="30"/>
        </w:rPr>
        <w:t>年度免费开放经费项目</w:t>
      </w:r>
      <w:r>
        <w:rPr>
          <w:rFonts w:hint="eastAsia" w:ascii="宋体" w:hAnsi="宋体" w:eastAsia="宋体" w:cs="宋体"/>
          <w:sz w:val="30"/>
          <w:szCs w:val="30"/>
          <w:lang w:eastAsia="zh-CN"/>
        </w:rPr>
        <w:t>支出</w:t>
      </w:r>
      <w:r>
        <w:rPr>
          <w:rFonts w:hint="eastAsia" w:ascii="宋体" w:hAnsi="宋体" w:eastAsia="宋体" w:cs="宋体"/>
          <w:sz w:val="30"/>
          <w:szCs w:val="30"/>
        </w:rPr>
        <w:t>的绩效评价工作，现报告如下：</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360" w:lineRule="auto"/>
        <w:ind w:firstLine="602" w:firstLineChars="200"/>
        <w:textAlignment w:val="auto"/>
        <w:rPr>
          <w:rFonts w:hint="eastAsia" w:ascii="宋体" w:hAnsi="宋体" w:cs="宋体"/>
          <w:b/>
          <w:bCs/>
          <w:sz w:val="30"/>
          <w:szCs w:val="30"/>
          <w:lang w:val="en-US" w:eastAsia="zh-CN"/>
        </w:rPr>
      </w:pPr>
      <w:r>
        <w:rPr>
          <w:rFonts w:hint="eastAsia" w:ascii="宋体" w:hAnsi="宋体" w:cs="宋体"/>
          <w:b/>
          <w:bCs/>
          <w:sz w:val="30"/>
          <w:szCs w:val="30"/>
          <w:lang w:val="en-US" w:eastAsia="zh-CN"/>
        </w:rPr>
        <w:t>基本情况</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301" w:firstLineChars="100"/>
        <w:textAlignment w:val="auto"/>
        <w:rPr>
          <w:rFonts w:hint="eastAsia" w:ascii="宋体" w:hAnsi="宋体" w:eastAsia="宋体" w:cs="宋体"/>
          <w:b/>
          <w:bCs/>
          <w:sz w:val="30"/>
          <w:szCs w:val="30"/>
        </w:rPr>
      </w:pPr>
      <w:r>
        <w:rPr>
          <w:rFonts w:hint="eastAsia" w:ascii="宋体" w:hAnsi="宋体" w:eastAsia="宋体" w:cs="宋体"/>
          <w:b/>
          <w:bCs/>
          <w:sz w:val="30"/>
          <w:szCs w:val="30"/>
          <w:lang w:eastAsia="zh-CN"/>
        </w:rPr>
        <w:t>（一）</w:t>
      </w:r>
      <w:r>
        <w:rPr>
          <w:rFonts w:hint="eastAsia" w:ascii="宋体" w:hAnsi="宋体" w:eastAsia="宋体" w:cs="宋体"/>
          <w:b/>
          <w:bCs/>
          <w:sz w:val="30"/>
          <w:szCs w:val="30"/>
        </w:rPr>
        <w:t>、项目概况</w:t>
      </w:r>
    </w:p>
    <w:p>
      <w:pPr>
        <w:keepNext w:val="0"/>
        <w:keepLines w:val="0"/>
        <w:pageBreakBefore w:val="0"/>
        <w:widowControl w:val="0"/>
        <w:kinsoku/>
        <w:wordWrap/>
        <w:overflowPunct/>
        <w:topLinePunct w:val="0"/>
        <w:autoSpaceDE w:val="0"/>
        <w:autoSpaceDN w:val="0"/>
        <w:bidi w:val="0"/>
        <w:adjustRightInd w:val="0"/>
        <w:snapToGrid/>
        <w:spacing w:line="360" w:lineRule="auto"/>
        <w:ind w:firstLine="602" w:firstLineChars="200"/>
        <w:textAlignment w:val="auto"/>
        <w:rPr>
          <w:rFonts w:hint="eastAsia" w:ascii="宋体" w:hAnsi="宋体" w:eastAsia="宋体" w:cs="宋体"/>
          <w:b/>
          <w:bCs/>
          <w:sz w:val="30"/>
          <w:szCs w:val="30"/>
          <w:lang w:eastAsia="zh-CN"/>
        </w:rPr>
      </w:pPr>
      <w:r>
        <w:rPr>
          <w:rFonts w:hint="eastAsia" w:ascii="宋体" w:hAnsi="宋体" w:eastAsia="宋体" w:cs="宋体"/>
          <w:b/>
          <w:bCs/>
          <w:sz w:val="30"/>
          <w:szCs w:val="30"/>
          <w:lang w:val="en-US" w:eastAsia="zh-CN"/>
        </w:rPr>
        <w:t>1、</w:t>
      </w:r>
      <w:r>
        <w:rPr>
          <w:rFonts w:hint="eastAsia" w:ascii="宋体" w:hAnsi="宋体" w:cs="宋体"/>
          <w:b/>
          <w:bCs/>
          <w:sz w:val="30"/>
          <w:szCs w:val="30"/>
          <w:lang w:eastAsia="zh-CN"/>
        </w:rPr>
        <w:t>项目</w:t>
      </w:r>
      <w:r>
        <w:rPr>
          <w:rFonts w:hint="eastAsia" w:ascii="宋体" w:hAnsi="宋体" w:eastAsia="宋体" w:cs="宋体"/>
          <w:b/>
          <w:bCs/>
          <w:sz w:val="30"/>
          <w:szCs w:val="30"/>
          <w:lang w:eastAsia="zh-CN"/>
        </w:rPr>
        <w:t>背景</w:t>
      </w:r>
    </w:p>
    <w:p>
      <w:pPr>
        <w:autoSpaceDE w:val="0"/>
        <w:autoSpaceDN w:val="0"/>
        <w:adjustRightInd w:val="0"/>
        <w:spacing w:line="360" w:lineRule="auto"/>
        <w:ind w:firstLine="600" w:firstLineChars="200"/>
        <w:rPr>
          <w:rFonts w:hint="eastAsia" w:ascii="宋体" w:hAnsi="宋体" w:eastAsia="宋体" w:cs="宋体"/>
          <w:sz w:val="30"/>
          <w:szCs w:val="30"/>
          <w:lang w:eastAsia="zh-CN"/>
        </w:rPr>
      </w:pPr>
      <w:r>
        <w:rPr>
          <w:rFonts w:hint="eastAsia" w:ascii="宋体" w:hAnsi="宋体" w:cs="宋体"/>
          <w:sz w:val="30"/>
          <w:szCs w:val="30"/>
          <w:lang w:eastAsia="zh-CN"/>
        </w:rPr>
        <w:t>依据《中华人民共和国公共文化服务保障法》、《中华人民共和国公共图书馆法》、江西省委办公厅、省政府办公厅《关于加快构建现代公共文化服务体系的实施意见》（赣办发〔2015〕32号）、南昌市委办公厅市政府办公厅关于印发《南昌市加快构建现代公共文化服务体系实施方案》的通知（洪办发[2017]2号）、《文化部办公厅关于开展第六次全国县级以上公共图书馆评估定级工作的通知》</w:t>
      </w:r>
      <w:r>
        <w:rPr>
          <w:rFonts w:hint="eastAsia" w:ascii="宋体" w:hAnsi="宋体" w:cs="宋体"/>
          <w:sz w:val="30"/>
          <w:szCs w:val="30"/>
          <w:lang w:val="en-US" w:eastAsia="zh-CN"/>
        </w:rPr>
        <w:t>等文件的要求，</w:t>
      </w:r>
      <w:r>
        <w:rPr>
          <w:rFonts w:hint="eastAsia" w:ascii="宋体" w:hAnsi="宋体" w:cs="宋体"/>
          <w:sz w:val="30"/>
          <w:szCs w:val="30"/>
          <w:lang w:eastAsia="zh-CN"/>
        </w:rPr>
        <w:t>为我市广大读者提供图书阅读免费场所，丰富群众文化生活，促进专业交流。</w:t>
      </w:r>
    </w:p>
    <w:p>
      <w:pPr>
        <w:keepNext w:val="0"/>
        <w:keepLines w:val="0"/>
        <w:pageBreakBefore w:val="0"/>
        <w:widowControl w:val="0"/>
        <w:kinsoku/>
        <w:wordWrap/>
        <w:overflowPunct/>
        <w:topLinePunct w:val="0"/>
        <w:autoSpaceDE w:val="0"/>
        <w:autoSpaceDN w:val="0"/>
        <w:bidi w:val="0"/>
        <w:adjustRightInd w:val="0"/>
        <w:snapToGrid/>
        <w:spacing w:line="360" w:lineRule="auto"/>
        <w:ind w:firstLine="602" w:firstLineChars="200"/>
        <w:textAlignment w:val="auto"/>
        <w:rPr>
          <w:rFonts w:hint="eastAsia" w:ascii="宋体" w:hAnsi="宋体" w:eastAsia="宋体" w:cs="宋体"/>
          <w:b/>
          <w:bCs/>
          <w:sz w:val="30"/>
          <w:szCs w:val="30"/>
        </w:rPr>
      </w:pPr>
      <w:r>
        <w:rPr>
          <w:rFonts w:hint="eastAsia" w:ascii="宋体" w:hAnsi="宋体" w:eastAsia="宋体" w:cs="宋体"/>
          <w:b/>
          <w:bCs/>
          <w:sz w:val="30"/>
          <w:szCs w:val="30"/>
          <w:lang w:val="en-US" w:eastAsia="zh-CN"/>
        </w:rPr>
        <w:t>2、</w:t>
      </w:r>
      <w:r>
        <w:rPr>
          <w:rFonts w:hint="eastAsia" w:ascii="宋体" w:hAnsi="宋体" w:cs="宋体"/>
          <w:b/>
          <w:bCs/>
          <w:sz w:val="30"/>
          <w:szCs w:val="30"/>
          <w:lang w:val="en-US" w:eastAsia="zh-CN"/>
        </w:rPr>
        <w:t>主要内容</w:t>
      </w:r>
    </w:p>
    <w:p>
      <w:pPr>
        <w:pStyle w:val="5"/>
        <w:shd w:val="clear" w:color="auto" w:fill="FFFFFF"/>
        <w:spacing w:before="0" w:beforeAutospacing="0" w:after="0" w:afterAutospacing="0"/>
        <w:ind w:firstLine="600" w:firstLineChars="200"/>
        <w:rPr>
          <w:rFonts w:hint="eastAsia"/>
          <w:lang w:val="en-US" w:eastAsia="zh-CN"/>
        </w:rPr>
      </w:pPr>
      <w:r>
        <w:rPr>
          <w:rFonts w:hint="eastAsia" w:cs="宋体"/>
          <w:kern w:val="2"/>
          <w:sz w:val="30"/>
          <w:szCs w:val="30"/>
          <w:lang w:eastAsia="zh-CN"/>
        </w:rPr>
        <w:t>市图书馆免费开放主要包括：少儿部、外借部、期刊部、电子阅览室、盲人及盲文有声读物阅览室、自修室、报告厅、展厅等公共空间设施场地免费开放；文献资源借阅、地方文献古籍阅览室以及基层辅导、流动服务等基本文化服务项目免费提供；为保障基本职能实现的一些辅助性服务如办证、验证、存包等全部免费。</w:t>
      </w:r>
    </w:p>
    <w:p>
      <w:pPr>
        <w:numPr>
          <w:ilvl w:val="0"/>
          <w:numId w:val="2"/>
        </w:numPr>
        <w:autoSpaceDE w:val="0"/>
        <w:autoSpaceDN w:val="0"/>
        <w:adjustRightInd w:val="0"/>
        <w:spacing w:line="360" w:lineRule="auto"/>
        <w:ind w:firstLine="602" w:firstLineChars="200"/>
        <w:rPr>
          <w:rFonts w:hint="eastAsia" w:ascii="宋体" w:hAnsi="宋体" w:cs="宋体"/>
          <w:b/>
          <w:bCs/>
          <w:kern w:val="2"/>
          <w:sz w:val="30"/>
          <w:szCs w:val="30"/>
          <w:lang w:val="en-US" w:eastAsia="zh-CN"/>
        </w:rPr>
      </w:pPr>
      <w:r>
        <w:rPr>
          <w:rFonts w:hint="eastAsia" w:ascii="宋体" w:hAnsi="宋体" w:cs="宋体"/>
          <w:b/>
          <w:bCs/>
          <w:kern w:val="2"/>
          <w:sz w:val="30"/>
          <w:szCs w:val="30"/>
          <w:lang w:val="en-US" w:eastAsia="zh-CN"/>
        </w:rPr>
        <w:t>实施情况</w:t>
      </w:r>
    </w:p>
    <w:p>
      <w:pPr>
        <w:numPr>
          <w:ilvl w:val="0"/>
          <w:numId w:val="0"/>
        </w:numPr>
        <w:autoSpaceDE w:val="0"/>
        <w:autoSpaceDN w:val="0"/>
        <w:adjustRightInd w:val="0"/>
        <w:spacing w:line="360" w:lineRule="auto"/>
        <w:ind w:firstLine="600" w:firstLineChars="200"/>
        <w:rPr>
          <w:rFonts w:hint="eastAsia" w:ascii="宋体" w:hAnsi="宋体" w:eastAsia="宋体" w:cs="宋体"/>
          <w:sz w:val="30"/>
          <w:szCs w:val="30"/>
        </w:rPr>
      </w:pPr>
      <w:r>
        <w:rPr>
          <w:rFonts w:hint="eastAsia" w:ascii="宋体" w:hAnsi="宋体" w:eastAsia="宋体" w:cs="宋体"/>
          <w:color w:val="auto"/>
          <w:sz w:val="30"/>
          <w:szCs w:val="30"/>
          <w:lang w:eastAsia="zh-CN"/>
        </w:rPr>
        <w:t>市图书馆</w:t>
      </w:r>
      <w:r>
        <w:rPr>
          <w:rFonts w:hint="eastAsia" w:ascii="宋体" w:hAnsi="宋体" w:eastAsia="宋体" w:cs="宋体"/>
          <w:color w:val="auto"/>
          <w:sz w:val="30"/>
          <w:szCs w:val="30"/>
        </w:rPr>
        <w:t>成立了成立了以</w:t>
      </w:r>
      <w:r>
        <w:rPr>
          <w:rFonts w:hint="eastAsia" w:ascii="宋体" w:hAnsi="宋体" w:cs="宋体"/>
          <w:color w:val="auto"/>
          <w:sz w:val="30"/>
          <w:szCs w:val="30"/>
          <w:lang w:eastAsia="zh-CN"/>
        </w:rPr>
        <w:t>罗卓舟、付玲、何冰</w:t>
      </w:r>
      <w:r>
        <w:rPr>
          <w:rFonts w:hint="eastAsia" w:ascii="宋体" w:hAnsi="宋体" w:eastAsia="宋体" w:cs="宋体"/>
          <w:color w:val="auto"/>
          <w:sz w:val="30"/>
          <w:szCs w:val="30"/>
        </w:rPr>
        <w:t>为组长的免费开放经费项目管理组，负责</w:t>
      </w:r>
      <w:r>
        <w:rPr>
          <w:rFonts w:hint="eastAsia" w:ascii="宋体" w:hAnsi="宋体" w:eastAsia="宋体" w:cs="宋体"/>
          <w:sz w:val="30"/>
          <w:szCs w:val="30"/>
        </w:rPr>
        <w:t>自查复查工作。并按照南昌市扶持文化公益事业发展专项资金申报，符合专项资金管理办法相关制度，专款专用。</w:t>
      </w:r>
    </w:p>
    <w:p>
      <w:pPr>
        <w:autoSpaceDE w:val="0"/>
        <w:autoSpaceDN w:val="0"/>
        <w:adjustRightInd w:val="0"/>
        <w:spacing w:line="360" w:lineRule="auto"/>
        <w:ind w:firstLine="560"/>
        <w:rPr>
          <w:rFonts w:hint="eastAsia" w:ascii="宋体" w:hAnsi="宋体" w:eastAsia="宋体" w:cs="宋体"/>
          <w:sz w:val="30"/>
          <w:szCs w:val="30"/>
        </w:rPr>
      </w:pPr>
      <w:r>
        <w:rPr>
          <w:rFonts w:hint="eastAsia" w:ascii="宋体" w:hAnsi="宋体" w:eastAsia="宋体" w:cs="宋体"/>
          <w:sz w:val="30"/>
          <w:szCs w:val="30"/>
        </w:rPr>
        <w:t>该项目实施期间严格按照《南昌市图书馆专项资金项目管理制度》、《政府采购管理制度》、《南昌市图书馆会计核算制度、《收入、支出管理制度》来执行。</w:t>
      </w:r>
    </w:p>
    <w:p>
      <w:pPr>
        <w:autoSpaceDE w:val="0"/>
        <w:autoSpaceDN w:val="0"/>
        <w:adjustRightInd w:val="0"/>
        <w:spacing w:line="360" w:lineRule="auto"/>
        <w:ind w:firstLine="560"/>
        <w:rPr>
          <w:rFonts w:hint="eastAsia" w:ascii="宋体" w:hAnsi="宋体" w:eastAsia="宋体" w:cs="宋体"/>
          <w:b/>
          <w:bCs/>
          <w:kern w:val="2"/>
          <w:sz w:val="30"/>
          <w:szCs w:val="30"/>
          <w:lang w:val="en-US" w:eastAsia="zh-CN"/>
        </w:rPr>
      </w:pPr>
      <w:r>
        <w:rPr>
          <w:rFonts w:hint="eastAsia" w:ascii="宋体" w:hAnsi="宋体" w:cs="宋体"/>
          <w:b/>
          <w:bCs/>
          <w:kern w:val="2"/>
          <w:sz w:val="30"/>
          <w:szCs w:val="30"/>
          <w:lang w:val="en-US" w:eastAsia="zh-CN"/>
        </w:rPr>
        <w:t>4、</w:t>
      </w:r>
      <w:r>
        <w:rPr>
          <w:rFonts w:hint="eastAsia" w:ascii="宋体" w:hAnsi="宋体" w:eastAsia="宋体" w:cs="宋体"/>
          <w:b/>
          <w:bCs/>
          <w:kern w:val="2"/>
          <w:sz w:val="30"/>
          <w:szCs w:val="30"/>
          <w:lang w:val="en-US" w:eastAsia="zh-CN"/>
        </w:rPr>
        <w:t>资金投入和使用情况</w:t>
      </w:r>
    </w:p>
    <w:p>
      <w:pPr>
        <w:numPr>
          <w:ilvl w:val="0"/>
          <w:numId w:val="0"/>
        </w:numPr>
        <w:autoSpaceDE w:val="0"/>
        <w:autoSpaceDN w:val="0"/>
        <w:adjustRightInd w:val="0"/>
        <w:spacing w:line="360" w:lineRule="auto"/>
        <w:ind w:firstLine="600" w:firstLineChars="200"/>
        <w:rPr>
          <w:rFonts w:hint="eastAsia" w:ascii="宋体" w:hAnsi="宋体" w:eastAsia="宋体" w:cs="宋体"/>
          <w:sz w:val="30"/>
          <w:szCs w:val="30"/>
        </w:rPr>
      </w:pPr>
      <w:r>
        <w:rPr>
          <w:rFonts w:hint="eastAsia" w:ascii="宋体" w:hAnsi="宋体" w:cs="宋体"/>
          <w:sz w:val="30"/>
          <w:szCs w:val="30"/>
          <w:lang w:val="en-US" w:eastAsia="zh-CN"/>
        </w:rPr>
        <w:t>2020年免费开放经费</w:t>
      </w:r>
      <w:r>
        <w:rPr>
          <w:rFonts w:hint="eastAsia" w:ascii="宋体" w:hAnsi="宋体" w:eastAsia="宋体" w:cs="宋体"/>
          <w:sz w:val="30"/>
          <w:szCs w:val="30"/>
        </w:rPr>
        <w:t>预算资金</w:t>
      </w:r>
      <w:r>
        <w:rPr>
          <w:rFonts w:hint="eastAsia" w:ascii="宋体" w:hAnsi="宋体" w:cs="宋体"/>
          <w:sz w:val="30"/>
          <w:szCs w:val="30"/>
          <w:lang w:val="en-US" w:eastAsia="zh-CN"/>
        </w:rPr>
        <w:t>81.6</w:t>
      </w:r>
      <w:r>
        <w:rPr>
          <w:rFonts w:hint="eastAsia" w:ascii="宋体" w:hAnsi="宋体" w:eastAsia="宋体" w:cs="宋体"/>
          <w:sz w:val="30"/>
          <w:szCs w:val="30"/>
        </w:rPr>
        <w:t>万，结余结转数0万元。资金使用率为</w:t>
      </w:r>
      <w:r>
        <w:rPr>
          <w:rFonts w:hint="eastAsia" w:ascii="宋体" w:hAnsi="宋体" w:eastAsia="宋体" w:cs="宋体"/>
          <w:sz w:val="30"/>
          <w:szCs w:val="30"/>
          <w:lang w:val="en-US" w:eastAsia="zh-CN"/>
        </w:rPr>
        <w:t>100</w:t>
      </w:r>
      <w:r>
        <w:rPr>
          <w:rFonts w:hint="eastAsia" w:ascii="宋体" w:hAnsi="宋体" w:eastAsia="宋体" w:cs="宋体"/>
          <w:sz w:val="30"/>
          <w:szCs w:val="30"/>
        </w:rPr>
        <w:t>%</w:t>
      </w:r>
    </w:p>
    <w:p>
      <w:pPr>
        <w:numPr>
          <w:ilvl w:val="0"/>
          <w:numId w:val="0"/>
        </w:numPr>
        <w:autoSpaceDE w:val="0"/>
        <w:autoSpaceDN w:val="0"/>
        <w:adjustRightInd w:val="0"/>
        <w:spacing w:line="360" w:lineRule="auto"/>
        <w:ind w:firstLine="301" w:firstLineChars="100"/>
        <w:rPr>
          <w:rFonts w:hint="eastAsia" w:ascii="宋体" w:hAnsi="宋体" w:eastAsia="宋体" w:cs="宋体"/>
          <w:b/>
          <w:bCs/>
          <w:sz w:val="30"/>
          <w:szCs w:val="30"/>
        </w:rPr>
      </w:pPr>
      <w:r>
        <w:rPr>
          <w:rFonts w:hint="eastAsia" w:ascii="宋体" w:hAnsi="宋体" w:eastAsia="宋体" w:cs="宋体"/>
          <w:b/>
          <w:bCs/>
          <w:sz w:val="30"/>
          <w:szCs w:val="30"/>
          <w:lang w:eastAsia="zh-CN"/>
        </w:rPr>
        <w:t>（二）</w:t>
      </w:r>
      <w:r>
        <w:rPr>
          <w:rFonts w:hint="eastAsia" w:ascii="宋体" w:hAnsi="宋体" w:eastAsia="宋体" w:cs="宋体"/>
          <w:b/>
          <w:bCs/>
          <w:sz w:val="30"/>
          <w:szCs w:val="30"/>
        </w:rPr>
        <w:t>项目</w:t>
      </w:r>
      <w:r>
        <w:rPr>
          <w:rFonts w:hint="eastAsia" w:ascii="宋体" w:hAnsi="宋体" w:eastAsia="宋体" w:cs="宋体"/>
          <w:b/>
          <w:bCs/>
          <w:sz w:val="30"/>
          <w:szCs w:val="30"/>
          <w:lang w:eastAsia="zh-CN"/>
        </w:rPr>
        <w:t>绩效</w:t>
      </w:r>
      <w:r>
        <w:rPr>
          <w:rFonts w:hint="eastAsia" w:ascii="宋体" w:hAnsi="宋体" w:eastAsia="宋体" w:cs="宋体"/>
          <w:b/>
          <w:bCs/>
          <w:sz w:val="30"/>
          <w:szCs w:val="30"/>
        </w:rPr>
        <w:t>目标</w:t>
      </w:r>
    </w:p>
    <w:p>
      <w:pPr>
        <w:keepNext w:val="0"/>
        <w:keepLines w:val="0"/>
        <w:pageBreakBefore w:val="0"/>
        <w:widowControl w:val="0"/>
        <w:kinsoku/>
        <w:wordWrap/>
        <w:overflowPunct/>
        <w:topLinePunct w:val="0"/>
        <w:autoSpaceDE w:val="0"/>
        <w:autoSpaceDN w:val="0"/>
        <w:bidi w:val="0"/>
        <w:adjustRightInd w:val="0"/>
        <w:snapToGrid/>
        <w:spacing w:line="360" w:lineRule="auto"/>
        <w:ind w:firstLine="602" w:firstLineChars="200"/>
        <w:textAlignment w:val="auto"/>
        <w:rPr>
          <w:rFonts w:hint="eastAsia" w:ascii="宋体" w:hAnsi="宋体" w:eastAsia="宋体" w:cs="宋体"/>
          <w:b/>
          <w:bCs/>
          <w:sz w:val="30"/>
          <w:szCs w:val="30"/>
        </w:rPr>
      </w:pPr>
      <w:r>
        <w:rPr>
          <w:rFonts w:hint="eastAsia" w:ascii="宋体" w:hAnsi="宋体" w:eastAsia="宋体" w:cs="宋体"/>
          <w:b/>
          <w:bCs/>
          <w:sz w:val="30"/>
          <w:szCs w:val="30"/>
          <w:lang w:val="en-US" w:eastAsia="zh-CN"/>
        </w:rPr>
        <w:t>1、</w:t>
      </w:r>
      <w:r>
        <w:rPr>
          <w:rFonts w:hint="eastAsia" w:ascii="宋体" w:hAnsi="宋体" w:eastAsia="宋体" w:cs="宋体"/>
          <w:b/>
          <w:bCs/>
          <w:sz w:val="30"/>
          <w:szCs w:val="30"/>
        </w:rPr>
        <w:t>总</w:t>
      </w:r>
      <w:r>
        <w:rPr>
          <w:rFonts w:hint="eastAsia" w:ascii="宋体" w:hAnsi="宋体" w:cs="宋体"/>
          <w:b/>
          <w:bCs/>
          <w:sz w:val="30"/>
          <w:szCs w:val="30"/>
          <w:lang w:eastAsia="zh-CN"/>
        </w:rPr>
        <w:t>体</w:t>
      </w:r>
      <w:r>
        <w:rPr>
          <w:rFonts w:hint="eastAsia" w:ascii="宋体" w:hAnsi="宋体" w:eastAsia="宋体" w:cs="宋体"/>
          <w:b/>
          <w:bCs/>
          <w:sz w:val="30"/>
          <w:szCs w:val="30"/>
        </w:rPr>
        <w:t>目标</w:t>
      </w:r>
    </w:p>
    <w:p>
      <w:pPr>
        <w:autoSpaceDE w:val="0"/>
        <w:autoSpaceDN w:val="0"/>
        <w:adjustRightInd w:val="0"/>
        <w:spacing w:line="360" w:lineRule="auto"/>
        <w:rPr>
          <w:rFonts w:hint="eastAsia" w:ascii="宋体" w:hAnsi="宋体" w:eastAsia="宋体" w:cs="宋体"/>
          <w:sz w:val="30"/>
          <w:szCs w:val="30"/>
        </w:rPr>
      </w:pPr>
      <w:r>
        <w:rPr>
          <w:rFonts w:hint="eastAsia" w:ascii="宋体" w:hAnsi="宋体" w:eastAsia="宋体" w:cs="宋体"/>
          <w:sz w:val="30"/>
          <w:szCs w:val="30"/>
        </w:rPr>
        <w:t xml:space="preserve">   场馆免费开放，正常运行，提升群众的参与度和满意度，充分发挥公共图书馆的功能作用，提高服务水平，保障人民群众的文化权益。</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602" w:firstLineChars="200"/>
        <w:textAlignment w:val="auto"/>
        <w:rPr>
          <w:rFonts w:hint="eastAsia" w:ascii="宋体" w:hAnsi="宋体" w:eastAsia="宋体" w:cs="宋体"/>
          <w:b/>
          <w:bCs/>
          <w:sz w:val="30"/>
          <w:szCs w:val="30"/>
        </w:rPr>
      </w:pPr>
      <w:r>
        <w:rPr>
          <w:rFonts w:hint="eastAsia" w:ascii="宋体" w:hAnsi="宋体" w:eastAsia="宋体" w:cs="宋体"/>
          <w:b/>
          <w:bCs/>
          <w:sz w:val="30"/>
          <w:szCs w:val="30"/>
          <w:lang w:val="en-US" w:eastAsia="zh-CN"/>
        </w:rPr>
        <w:t>2、</w:t>
      </w:r>
      <w:r>
        <w:rPr>
          <w:rFonts w:hint="eastAsia" w:ascii="宋体" w:hAnsi="宋体" w:eastAsia="宋体" w:cs="宋体"/>
          <w:b/>
          <w:bCs/>
          <w:sz w:val="30"/>
          <w:szCs w:val="30"/>
          <w:lang w:eastAsia="zh-CN"/>
        </w:rPr>
        <w:t>阶段性</w:t>
      </w:r>
      <w:r>
        <w:rPr>
          <w:rFonts w:hint="eastAsia" w:ascii="宋体" w:hAnsi="宋体" w:eastAsia="宋体" w:cs="宋体"/>
          <w:b/>
          <w:bCs/>
          <w:sz w:val="30"/>
          <w:szCs w:val="30"/>
        </w:rPr>
        <w:t>目标</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602" w:firstLineChars="200"/>
        <w:textAlignment w:val="auto"/>
        <w:rPr>
          <w:rFonts w:hint="eastAsia" w:ascii="宋体" w:hAnsi="宋体" w:cs="宋体"/>
          <w:b w:val="0"/>
          <w:bCs w:val="0"/>
          <w:sz w:val="30"/>
          <w:szCs w:val="30"/>
          <w:lang w:val="en-US" w:eastAsia="zh-CN"/>
        </w:rPr>
      </w:pPr>
      <w:r>
        <w:rPr>
          <w:rFonts w:hint="eastAsia" w:ascii="宋体" w:hAnsi="宋体" w:cs="宋体"/>
          <w:b/>
          <w:bCs/>
          <w:sz w:val="30"/>
          <w:szCs w:val="30"/>
          <w:lang w:val="en-US" w:eastAsia="zh-CN"/>
        </w:rPr>
        <w:t>（</w:t>
      </w:r>
      <w:r>
        <w:rPr>
          <w:rFonts w:hint="eastAsia" w:ascii="宋体" w:hAnsi="宋体" w:cs="宋体"/>
          <w:b w:val="0"/>
          <w:bCs w:val="0"/>
          <w:sz w:val="30"/>
          <w:szCs w:val="30"/>
          <w:lang w:val="en-US" w:eastAsia="zh-CN"/>
        </w:rPr>
        <w:t>1）场馆免费开放达到300天。</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600" w:firstLineChars="200"/>
        <w:textAlignment w:val="auto"/>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（2）场馆全年对设备维修维护6次。</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600" w:firstLineChars="200"/>
        <w:textAlignment w:val="auto"/>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（3）物业管理面积达到15000平方米。</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360" w:lineRule="auto"/>
        <w:ind w:left="0" w:leftChars="0" w:firstLine="602" w:firstLineChars="200"/>
        <w:textAlignment w:val="auto"/>
        <w:rPr>
          <w:rFonts w:hint="eastAsia" w:ascii="宋体" w:hAnsi="宋体" w:cs="宋体"/>
          <w:b/>
          <w:bCs/>
          <w:sz w:val="30"/>
          <w:szCs w:val="30"/>
          <w:lang w:val="en-US" w:eastAsia="zh-CN"/>
        </w:rPr>
      </w:pPr>
      <w:r>
        <w:rPr>
          <w:rFonts w:hint="eastAsia" w:ascii="宋体" w:hAnsi="宋体" w:cs="宋体"/>
          <w:b/>
          <w:bCs/>
          <w:sz w:val="30"/>
          <w:szCs w:val="30"/>
          <w:lang w:val="en-US" w:eastAsia="zh-CN"/>
        </w:rPr>
        <w:t>绩效评价工作组织开展情况</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200"/>
        <w:textAlignment w:val="auto"/>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（一）</w:t>
      </w:r>
      <w:r>
        <w:rPr>
          <w:rFonts w:hint="eastAsia" w:ascii="宋体" w:hAnsi="宋体" w:eastAsia="宋体" w:cs="宋体"/>
          <w:b/>
          <w:bCs/>
          <w:sz w:val="30"/>
          <w:szCs w:val="30"/>
        </w:rPr>
        <w:t>、绩效评价目的</w:t>
      </w:r>
      <w:r>
        <w:rPr>
          <w:rFonts w:hint="eastAsia" w:ascii="宋体" w:hAnsi="宋体" w:eastAsia="宋体" w:cs="宋体"/>
          <w:b/>
          <w:bCs/>
          <w:sz w:val="30"/>
          <w:szCs w:val="30"/>
          <w:lang w:eastAsia="zh-CN"/>
        </w:rPr>
        <w:t>、对象和范围</w:t>
      </w:r>
    </w:p>
    <w:p>
      <w:pPr>
        <w:autoSpaceDE w:val="0"/>
        <w:autoSpaceDN w:val="0"/>
        <w:adjustRightInd w:val="0"/>
        <w:spacing w:line="360" w:lineRule="auto"/>
        <w:ind w:firstLine="602" w:firstLineChars="200"/>
        <w:rPr>
          <w:rFonts w:hint="eastAsia" w:ascii="宋体" w:hAnsi="宋体" w:eastAsia="宋体" w:cs="宋体"/>
          <w:b/>
          <w:bCs/>
          <w:sz w:val="30"/>
          <w:szCs w:val="30"/>
        </w:rPr>
      </w:pPr>
      <w:r>
        <w:rPr>
          <w:rFonts w:hint="eastAsia" w:ascii="宋体" w:hAnsi="宋体" w:eastAsia="宋体" w:cs="宋体"/>
          <w:b/>
          <w:bCs/>
          <w:sz w:val="30"/>
          <w:szCs w:val="30"/>
          <w:lang w:val="en-US" w:eastAsia="zh-CN"/>
        </w:rPr>
        <w:t>1、</w:t>
      </w:r>
      <w:r>
        <w:rPr>
          <w:rFonts w:hint="eastAsia" w:ascii="宋体" w:hAnsi="宋体" w:eastAsia="宋体" w:cs="宋体"/>
          <w:b/>
          <w:bCs/>
          <w:sz w:val="30"/>
          <w:szCs w:val="30"/>
        </w:rPr>
        <w:t>绩效评价目的</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通过绩效评价，进一步规范财政专项支出项目资金的管理和使用，认真总结经验，及时发现存在的问题，认真分析产生问题的原因，制定整改措施，从而推进</w:t>
      </w:r>
      <w:r>
        <w:rPr>
          <w:rFonts w:hint="eastAsia" w:ascii="宋体" w:hAnsi="宋体" w:eastAsia="宋体" w:cs="宋体"/>
          <w:sz w:val="30"/>
          <w:szCs w:val="30"/>
          <w:lang w:eastAsia="zh-CN"/>
        </w:rPr>
        <w:t>市图书馆</w:t>
      </w:r>
      <w:r>
        <w:rPr>
          <w:rFonts w:hint="eastAsia" w:ascii="宋体" w:hAnsi="宋体" w:eastAsia="宋体" w:cs="宋体"/>
          <w:sz w:val="30"/>
          <w:szCs w:val="30"/>
        </w:rPr>
        <w:t>的免费开放工作。</w:t>
      </w:r>
    </w:p>
    <w:p>
      <w:pPr>
        <w:keepNext w:val="0"/>
        <w:keepLines w:val="0"/>
        <w:pageBreakBefore w:val="0"/>
        <w:widowControl w:val="0"/>
        <w:numPr>
          <w:ilvl w:val="0"/>
          <w:numId w:val="3"/>
        </w:numPr>
        <w:kinsoku/>
        <w:wordWrap/>
        <w:overflowPunct/>
        <w:topLinePunct w:val="0"/>
        <w:autoSpaceDE w:val="0"/>
        <w:autoSpaceDN w:val="0"/>
        <w:bidi w:val="0"/>
        <w:adjustRightInd w:val="0"/>
        <w:snapToGrid/>
        <w:spacing w:line="360" w:lineRule="auto"/>
        <w:ind w:firstLine="602" w:firstLineChars="200"/>
        <w:textAlignment w:val="auto"/>
        <w:rPr>
          <w:rFonts w:hint="eastAsia" w:ascii="宋体" w:hAnsi="宋体" w:eastAsia="宋体" w:cs="宋体"/>
          <w:b/>
          <w:bCs/>
          <w:sz w:val="30"/>
          <w:szCs w:val="30"/>
          <w:lang w:eastAsia="zh-CN"/>
        </w:rPr>
      </w:pPr>
      <w:r>
        <w:rPr>
          <w:rFonts w:hint="eastAsia" w:ascii="宋体" w:hAnsi="宋体" w:cs="宋体"/>
          <w:b/>
          <w:bCs/>
          <w:sz w:val="30"/>
          <w:szCs w:val="30"/>
          <w:lang w:val="en-US" w:eastAsia="zh-CN"/>
        </w:rPr>
        <w:t>绩效评价</w:t>
      </w:r>
      <w:r>
        <w:rPr>
          <w:rFonts w:hint="eastAsia" w:ascii="宋体" w:hAnsi="宋体" w:eastAsia="宋体" w:cs="宋体"/>
          <w:b/>
          <w:bCs/>
          <w:sz w:val="30"/>
          <w:szCs w:val="30"/>
          <w:lang w:eastAsia="zh-CN"/>
        </w:rPr>
        <w:t>对象和范围</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zh-CN"/>
        </w:rPr>
        <w:t>绩效评价对象和范围为</w:t>
      </w:r>
      <w:r>
        <w:rPr>
          <w:rFonts w:hint="eastAsia" w:ascii="宋体" w:hAnsi="宋体" w:cs="宋体"/>
          <w:sz w:val="30"/>
          <w:szCs w:val="30"/>
          <w:lang w:val="en-US" w:eastAsia="zh-CN"/>
        </w:rPr>
        <w:t>南昌市图书馆</w:t>
      </w:r>
      <w:r>
        <w:rPr>
          <w:rFonts w:hint="eastAsia" w:ascii="宋体" w:hAnsi="宋体" w:eastAsia="宋体" w:cs="宋体"/>
          <w:sz w:val="30"/>
          <w:szCs w:val="30"/>
          <w:lang w:val="en-US" w:eastAsia="zh-CN"/>
        </w:rPr>
        <w:t>20</w:t>
      </w:r>
      <w:r>
        <w:rPr>
          <w:rFonts w:hint="eastAsia" w:ascii="宋体" w:hAnsi="宋体" w:cs="宋体"/>
          <w:sz w:val="30"/>
          <w:szCs w:val="30"/>
          <w:lang w:val="en-US" w:eastAsia="zh-CN"/>
        </w:rPr>
        <w:t>20</w:t>
      </w:r>
      <w:r>
        <w:rPr>
          <w:rFonts w:hint="eastAsia" w:ascii="宋体" w:hAnsi="宋体" w:eastAsia="宋体" w:cs="宋体"/>
          <w:sz w:val="30"/>
          <w:szCs w:val="30"/>
          <w:lang w:val="en-US" w:eastAsia="zh-CN"/>
        </w:rPr>
        <w:t>年</w:t>
      </w:r>
      <w:r>
        <w:rPr>
          <w:rFonts w:hint="eastAsia" w:ascii="宋体" w:hAnsi="宋体" w:cs="宋体"/>
          <w:sz w:val="30"/>
          <w:szCs w:val="30"/>
          <w:lang w:val="en-US" w:eastAsia="zh-CN"/>
        </w:rPr>
        <w:t>度</w:t>
      </w:r>
      <w:r>
        <w:rPr>
          <w:rFonts w:hint="eastAsia" w:ascii="宋体" w:hAnsi="宋体" w:eastAsia="宋体" w:cs="宋体"/>
          <w:sz w:val="30"/>
          <w:szCs w:val="30"/>
          <w:lang w:val="en-US" w:eastAsia="zh-CN"/>
        </w:rPr>
        <w:t>免费开放经费</w:t>
      </w:r>
      <w:r>
        <w:rPr>
          <w:rFonts w:hint="eastAsia" w:ascii="宋体" w:hAnsi="宋体" w:cs="宋体"/>
          <w:sz w:val="30"/>
          <w:szCs w:val="30"/>
          <w:lang w:val="en-US" w:eastAsia="zh-CN"/>
        </w:rPr>
        <w:t>项目</w:t>
      </w:r>
      <w:r>
        <w:rPr>
          <w:rFonts w:hint="eastAsia" w:ascii="宋体" w:hAnsi="宋体" w:eastAsia="宋体" w:cs="宋体"/>
          <w:sz w:val="30"/>
          <w:szCs w:val="30"/>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602" w:firstLineChars="200"/>
        <w:textAlignment w:val="auto"/>
        <w:rPr>
          <w:rFonts w:hint="eastAsia" w:ascii="宋体" w:hAnsi="宋体" w:eastAsia="宋体" w:cs="宋体"/>
          <w:b/>
          <w:sz w:val="30"/>
          <w:szCs w:val="30"/>
          <w:lang w:val="zh-CN"/>
        </w:rPr>
      </w:pPr>
      <w:r>
        <w:rPr>
          <w:rFonts w:hint="eastAsia" w:ascii="宋体" w:hAnsi="宋体" w:eastAsia="宋体" w:cs="宋体"/>
          <w:b/>
          <w:sz w:val="30"/>
          <w:szCs w:val="30"/>
          <w:lang w:val="zh-CN"/>
        </w:rPr>
        <w:t>（二）绩效评价原则、评价指标体系（附表说明）、评价方法、评价标准。</w:t>
      </w:r>
    </w:p>
    <w:p>
      <w:pPr>
        <w:autoSpaceDE w:val="0"/>
        <w:autoSpaceDN w:val="0"/>
        <w:adjustRightInd w:val="0"/>
        <w:spacing w:line="360" w:lineRule="auto"/>
        <w:ind w:firstLine="602" w:firstLineChars="200"/>
        <w:rPr>
          <w:rFonts w:hint="eastAsia" w:ascii="宋体" w:hAnsi="宋体" w:eastAsia="宋体" w:cs="宋体"/>
          <w:sz w:val="30"/>
          <w:szCs w:val="30"/>
          <w:lang w:val="en-US" w:eastAsia="zh-CN"/>
        </w:rPr>
      </w:pPr>
      <w:r>
        <w:rPr>
          <w:rFonts w:hint="eastAsia" w:ascii="宋体" w:hAnsi="宋体" w:eastAsia="宋体" w:cs="宋体"/>
          <w:b/>
          <w:bCs/>
          <w:sz w:val="30"/>
          <w:szCs w:val="30"/>
          <w:lang w:val="en-US" w:eastAsia="zh-CN"/>
        </w:rPr>
        <w:t>1、</w:t>
      </w:r>
      <w:r>
        <w:rPr>
          <w:rFonts w:hint="eastAsia" w:ascii="宋体" w:hAnsi="宋体" w:eastAsia="宋体" w:cs="宋体"/>
          <w:b/>
          <w:sz w:val="30"/>
          <w:szCs w:val="30"/>
          <w:lang w:val="zh-CN"/>
        </w:rPr>
        <w:t>绩效评价原则</w:t>
      </w:r>
    </w:p>
    <w:p>
      <w:pPr>
        <w:autoSpaceDE w:val="0"/>
        <w:autoSpaceDN w:val="0"/>
        <w:adjustRightInd w:val="0"/>
        <w:spacing w:line="360" w:lineRule="auto"/>
        <w:ind w:firstLine="600" w:firstLineChars="200"/>
        <w:rPr>
          <w:rFonts w:hint="eastAsia" w:ascii="宋体" w:hAnsi="宋体" w:eastAsia="宋体" w:cs="宋体"/>
          <w:sz w:val="30"/>
          <w:szCs w:val="30"/>
          <w:lang w:val="zh-CN"/>
        </w:rPr>
      </w:pPr>
      <w:r>
        <w:rPr>
          <w:rFonts w:hint="eastAsia" w:ascii="宋体" w:hAnsi="宋体" w:eastAsia="宋体" w:cs="宋体"/>
          <w:sz w:val="30"/>
          <w:szCs w:val="30"/>
          <w:lang w:val="zh-CN"/>
        </w:rPr>
        <w:t>整个绩效评价工作遵循“合法依规、科学客观、全面评价、提升绩效”的十六字原则，通过组织开展项目支出绩效评价工作。</w:t>
      </w:r>
    </w:p>
    <w:p>
      <w:pPr>
        <w:numPr>
          <w:ilvl w:val="0"/>
          <w:numId w:val="0"/>
        </w:numPr>
        <w:autoSpaceDE w:val="0"/>
        <w:autoSpaceDN w:val="0"/>
        <w:adjustRightInd w:val="0"/>
        <w:spacing w:line="360" w:lineRule="auto"/>
        <w:ind w:firstLine="602" w:firstLineChars="200"/>
        <w:rPr>
          <w:rFonts w:hint="eastAsia" w:ascii="宋体" w:hAnsi="宋体" w:eastAsia="宋体" w:cs="宋体"/>
          <w:b/>
          <w:sz w:val="30"/>
          <w:szCs w:val="30"/>
          <w:lang w:val="zh-CN"/>
        </w:rPr>
      </w:pPr>
      <w:r>
        <w:rPr>
          <w:rFonts w:hint="eastAsia" w:ascii="宋体" w:hAnsi="宋体" w:cs="宋体"/>
          <w:b/>
          <w:sz w:val="30"/>
          <w:szCs w:val="30"/>
          <w:lang w:val="en-US" w:eastAsia="zh-CN"/>
        </w:rPr>
        <w:t>2、</w:t>
      </w:r>
      <w:r>
        <w:rPr>
          <w:rFonts w:hint="eastAsia" w:ascii="宋体" w:hAnsi="宋体" w:eastAsia="宋体" w:cs="宋体"/>
          <w:b/>
          <w:sz w:val="30"/>
          <w:szCs w:val="30"/>
          <w:lang w:val="zh-CN"/>
        </w:rPr>
        <w:t>评价指标体系</w:t>
      </w:r>
    </w:p>
    <w:p>
      <w:pPr>
        <w:ind w:firstLine="6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根据财政部《预算绩效评价共性指标体系框架》等文件精神及本项目的具体特点，设置了合理可行的评价体系，包括投入指标（资金落实和使用指标）、产出指标（产出数量、产出质量、产出时效、产出成本指标）、效益指标（社会效益和可持续影响指标）、满意度标</w:t>
      </w:r>
      <w:r>
        <w:rPr>
          <w:rFonts w:hint="eastAsia" w:ascii="宋体" w:hAnsi="宋体" w:eastAsia="宋体" w:cs="宋体"/>
          <w:b w:val="0"/>
          <w:bCs w:val="0"/>
          <w:sz w:val="30"/>
          <w:szCs w:val="30"/>
          <w:lang w:val="en-US" w:eastAsia="zh-CN"/>
        </w:rPr>
        <w:t>标等</w:t>
      </w:r>
      <w:r>
        <w:rPr>
          <w:rFonts w:hint="eastAsia" w:ascii="宋体" w:hAnsi="宋体" w:eastAsia="宋体" w:cs="宋体"/>
          <w:b w:val="0"/>
          <w:bCs w:val="0"/>
          <w:sz w:val="30"/>
          <w:szCs w:val="30"/>
        </w:rPr>
        <w:t>。</w:t>
      </w:r>
    </w:p>
    <w:p>
      <w:pPr>
        <w:rPr>
          <w:rFonts w:hint="eastAsia" w:ascii="黑体" w:hAnsi="宋体" w:eastAsia="黑体" w:cs="Arial"/>
          <w:bCs/>
          <w:color w:val="000000"/>
          <w:sz w:val="32"/>
          <w:szCs w:val="32"/>
        </w:rPr>
      </w:pPr>
    </w:p>
    <w:p>
      <w:pPr>
        <w:jc w:val="center"/>
        <w:rPr>
          <w:rFonts w:hint="eastAsia" w:ascii="宋体" w:hAnsi="宋体" w:eastAsia="宋体" w:cs="宋体"/>
          <w:bCs/>
          <w:color w:val="000000"/>
          <w:sz w:val="44"/>
          <w:szCs w:val="44"/>
        </w:rPr>
      </w:pPr>
      <w:r>
        <w:rPr>
          <w:rFonts w:hint="eastAsia" w:ascii="宋体" w:hAnsi="宋体" w:eastAsia="宋体" w:cs="宋体"/>
          <w:bCs/>
          <w:color w:val="000000"/>
          <w:spacing w:val="40"/>
          <w:sz w:val="44"/>
          <w:szCs w:val="44"/>
        </w:rPr>
        <w:t>项目支出绩效评分</w:t>
      </w:r>
      <w:r>
        <w:rPr>
          <w:rFonts w:hint="eastAsia" w:ascii="宋体" w:hAnsi="宋体" w:eastAsia="宋体" w:cs="宋体"/>
          <w:bCs/>
          <w:color w:val="000000"/>
          <w:sz w:val="44"/>
          <w:szCs w:val="44"/>
        </w:rPr>
        <w:t>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2066"/>
        <w:gridCol w:w="1712"/>
        <w:gridCol w:w="1261"/>
        <w:gridCol w:w="2144"/>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blHeader/>
          <w:jc w:val="center"/>
        </w:trPr>
        <w:tc>
          <w:tcPr>
            <w:tcW w:w="955" w:type="dxa"/>
            <w:shd w:val="clear" w:color="auto" w:fill="FFFFFF"/>
            <w:noWrap w:val="0"/>
            <w:vAlign w:val="center"/>
          </w:tcPr>
          <w:p>
            <w:pPr>
              <w:widowControl/>
              <w:jc w:val="center"/>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一级</w:t>
            </w:r>
          </w:p>
          <w:p>
            <w:pPr>
              <w:widowControl/>
              <w:jc w:val="center"/>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指标</w:t>
            </w:r>
          </w:p>
        </w:tc>
        <w:tc>
          <w:tcPr>
            <w:tcW w:w="2066" w:type="dxa"/>
            <w:shd w:val="clear" w:color="auto" w:fill="FFFFFF"/>
            <w:noWrap w:val="0"/>
            <w:vAlign w:val="center"/>
          </w:tcPr>
          <w:p>
            <w:pPr>
              <w:widowControl/>
              <w:jc w:val="center"/>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二级指标</w:t>
            </w:r>
          </w:p>
        </w:tc>
        <w:tc>
          <w:tcPr>
            <w:tcW w:w="1712" w:type="dxa"/>
            <w:shd w:val="clear" w:color="auto" w:fill="FFFFFF"/>
            <w:noWrap w:val="0"/>
            <w:vAlign w:val="center"/>
          </w:tcPr>
          <w:p>
            <w:pPr>
              <w:widowControl/>
              <w:jc w:val="center"/>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三级指标</w:t>
            </w:r>
          </w:p>
        </w:tc>
        <w:tc>
          <w:tcPr>
            <w:tcW w:w="1261" w:type="dxa"/>
            <w:shd w:val="clear" w:color="auto" w:fill="FFFFFF"/>
            <w:noWrap w:val="0"/>
            <w:vAlign w:val="center"/>
          </w:tcPr>
          <w:p>
            <w:pPr>
              <w:widowControl/>
              <w:jc w:val="center"/>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分值权重</w:t>
            </w:r>
          </w:p>
        </w:tc>
        <w:tc>
          <w:tcPr>
            <w:tcW w:w="2144" w:type="dxa"/>
            <w:shd w:val="clear" w:color="auto" w:fill="FFFFFF"/>
            <w:noWrap w:val="0"/>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21"/>
                <w:szCs w:val="21"/>
              </w:rPr>
              <w:t>评分标准</w:t>
            </w:r>
          </w:p>
        </w:tc>
        <w:tc>
          <w:tcPr>
            <w:tcW w:w="712" w:type="dxa"/>
            <w:shd w:val="clear" w:color="auto" w:fill="FFFFFF"/>
            <w:noWrap w:val="0"/>
            <w:vAlign w:val="center"/>
          </w:tcPr>
          <w:p>
            <w:pPr>
              <w:widowControl/>
              <w:jc w:val="center"/>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评价</w:t>
            </w:r>
          </w:p>
          <w:p>
            <w:pPr>
              <w:widowControl/>
              <w:jc w:val="center"/>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55"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决策</w:t>
            </w:r>
            <w:r>
              <w:rPr>
                <w:rFonts w:hint="eastAsia" w:ascii="宋体" w:hAnsi="宋体" w:eastAsia="宋体" w:cs="宋体"/>
                <w:color w:val="000000"/>
                <w:kern w:val="0"/>
                <w:sz w:val="21"/>
                <w:szCs w:val="21"/>
                <w:lang w:val="en-US" w:eastAsia="zh-CN"/>
              </w:rPr>
              <w:t>20分</w:t>
            </w:r>
            <w:r>
              <w:rPr>
                <w:rFonts w:hint="eastAsia" w:ascii="宋体" w:hAnsi="宋体" w:eastAsia="宋体" w:cs="宋体"/>
                <w:color w:val="000000"/>
                <w:kern w:val="0"/>
                <w:sz w:val="21"/>
                <w:szCs w:val="21"/>
              </w:rPr>
              <w:t>　</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p>
            <w:pPr>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2066"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项目立项</w:t>
            </w:r>
            <w:r>
              <w:rPr>
                <w:rFonts w:hint="eastAsia" w:ascii="宋体" w:hAnsi="宋体" w:eastAsia="宋体" w:cs="宋体"/>
                <w:color w:val="000000"/>
                <w:kern w:val="0"/>
                <w:sz w:val="21"/>
                <w:szCs w:val="21"/>
                <w:lang w:val="en-US" w:eastAsia="zh-CN"/>
              </w:rPr>
              <w:t>5分</w:t>
            </w: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立项依据</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充分性</w:t>
            </w:r>
          </w:p>
        </w:tc>
        <w:tc>
          <w:tcPr>
            <w:tcW w:w="1261"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2.5</w:t>
            </w:r>
          </w:p>
        </w:tc>
        <w:tc>
          <w:tcPr>
            <w:tcW w:w="2144"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①项目立项是否符合国家法律法规、国民经济发展规划和相关政策；</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0.5分）</w:t>
            </w:r>
          </w:p>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②项目立项是否符合行业发展规划和政策要求；</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0.5分）</w:t>
            </w:r>
          </w:p>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③项目立项是否与部门职责范围相符，属于部门履职所需；</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0.5分）</w:t>
            </w:r>
          </w:p>
          <w:p>
            <w:pPr>
              <w:widowControl/>
              <w:spacing w:line="24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④项目是否属于公共财政支持范围，是否符合中央、地方事权支出责任划分原则；</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1分）</w:t>
            </w:r>
          </w:p>
        </w:tc>
        <w:tc>
          <w:tcPr>
            <w:tcW w:w="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55" w:type="dxa"/>
            <w:vMerge w:val="continue"/>
            <w:shd w:val="clear" w:color="auto" w:fill="FFFFFF"/>
            <w:noWrap w:val="0"/>
            <w:vAlign w:val="center"/>
          </w:tcPr>
          <w:p>
            <w:pPr>
              <w:spacing w:line="240" w:lineRule="exact"/>
              <w:jc w:val="center"/>
              <w:rPr>
                <w:rFonts w:hint="eastAsia" w:ascii="宋体" w:hAnsi="宋体" w:eastAsia="宋体" w:cs="宋体"/>
                <w:color w:val="000000"/>
                <w:kern w:val="0"/>
                <w:sz w:val="21"/>
                <w:szCs w:val="21"/>
              </w:rPr>
            </w:pPr>
          </w:p>
        </w:tc>
        <w:tc>
          <w:tcPr>
            <w:tcW w:w="2066"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立项程序</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规范性</w:t>
            </w:r>
          </w:p>
        </w:tc>
        <w:tc>
          <w:tcPr>
            <w:tcW w:w="1261" w:type="dxa"/>
            <w:shd w:val="clear" w:color="auto" w:fill="FFFFFF"/>
            <w:noWrap w:val="0"/>
            <w:vAlign w:val="center"/>
          </w:tcPr>
          <w:p>
            <w:pPr>
              <w:widowControl/>
              <w:tabs>
                <w:tab w:val="left" w:pos="285"/>
              </w:tabs>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2.5</w:t>
            </w:r>
          </w:p>
        </w:tc>
        <w:tc>
          <w:tcPr>
            <w:tcW w:w="2144"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①项目是否按照规定的程序申请设立；</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0.9分）</w:t>
            </w:r>
          </w:p>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②审批文件、材料是否符合相关要求；</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0.8分）</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③事前是否已经过必要的可行性研究、专家论证、风险评估、绩效评估、集体决策。</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0.8分）</w:t>
            </w:r>
          </w:p>
        </w:tc>
        <w:tc>
          <w:tcPr>
            <w:tcW w:w="712" w:type="dxa"/>
            <w:shd w:val="clear" w:color="auto" w:fill="FFFFFF"/>
            <w:noWrap w:val="0"/>
            <w:vAlign w:val="center"/>
          </w:tcPr>
          <w:p>
            <w:pPr>
              <w:widowControl/>
              <w:tabs>
                <w:tab w:val="left" w:pos="285"/>
              </w:tabs>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6" w:hRule="atLeast"/>
          <w:jc w:val="center"/>
        </w:trPr>
        <w:tc>
          <w:tcPr>
            <w:tcW w:w="955" w:type="dxa"/>
            <w:vMerge w:val="continue"/>
            <w:shd w:val="clear" w:color="auto" w:fill="FFFFFF"/>
            <w:noWrap w:val="0"/>
            <w:vAlign w:val="center"/>
          </w:tcPr>
          <w:p>
            <w:pPr>
              <w:spacing w:line="240" w:lineRule="exact"/>
              <w:jc w:val="center"/>
              <w:rPr>
                <w:rFonts w:hint="eastAsia" w:ascii="宋体" w:hAnsi="宋体" w:eastAsia="宋体" w:cs="宋体"/>
                <w:color w:val="000000"/>
                <w:kern w:val="0"/>
                <w:sz w:val="21"/>
                <w:szCs w:val="21"/>
              </w:rPr>
            </w:pPr>
          </w:p>
        </w:tc>
        <w:tc>
          <w:tcPr>
            <w:tcW w:w="2066"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绩效目标</w:t>
            </w:r>
            <w:r>
              <w:rPr>
                <w:rFonts w:hint="eastAsia" w:ascii="宋体" w:hAnsi="宋体" w:eastAsia="宋体" w:cs="宋体"/>
                <w:color w:val="000000"/>
                <w:kern w:val="0"/>
                <w:sz w:val="21"/>
                <w:szCs w:val="21"/>
                <w:lang w:val="en-US" w:eastAsia="zh-CN"/>
              </w:rPr>
              <w:t>5分</w:t>
            </w: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绩效目标</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合理性</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p>
        </w:tc>
        <w:tc>
          <w:tcPr>
            <w:tcW w:w="2144" w:type="dxa"/>
            <w:shd w:val="clear" w:color="000000" w:fill="FFFFFF"/>
            <w:noWrap w:val="0"/>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①项目是否有绩效目标；</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1.5分）</w:t>
            </w:r>
          </w:p>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②项目绩效目标与实际工作内容是否具有相关性；</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1.5分）</w:t>
            </w: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③项目预期产出效益和效果是否符合正常的业绩水平；</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1分）</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④是否与预算确定的项目投资额或资金量相匹配。</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1分）</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5" w:hRule="atLeast"/>
          <w:jc w:val="center"/>
        </w:trPr>
        <w:tc>
          <w:tcPr>
            <w:tcW w:w="955"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c>
          <w:tcPr>
            <w:tcW w:w="2066"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绩效目标</w:t>
            </w:r>
            <w:r>
              <w:rPr>
                <w:rFonts w:hint="eastAsia" w:ascii="宋体" w:hAnsi="宋体" w:eastAsia="宋体" w:cs="宋体"/>
                <w:color w:val="000000"/>
                <w:kern w:val="0"/>
                <w:sz w:val="21"/>
                <w:szCs w:val="21"/>
                <w:lang w:val="en-US" w:eastAsia="zh-CN"/>
              </w:rPr>
              <w:t>5分</w:t>
            </w: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绩效指标</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明确性</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p>
            <w:pPr>
              <w:widowControl/>
              <w:spacing w:line="240" w:lineRule="exact"/>
              <w:jc w:val="center"/>
              <w:rPr>
                <w:rFonts w:hint="eastAsia" w:ascii="宋体" w:hAnsi="宋体" w:eastAsia="宋体" w:cs="宋体"/>
                <w:color w:val="000000"/>
                <w:kern w:val="0"/>
                <w:sz w:val="21"/>
                <w:szCs w:val="21"/>
                <w:lang w:val="en-US" w:eastAsia="zh-CN"/>
              </w:rPr>
            </w:pPr>
          </w:p>
        </w:tc>
        <w:tc>
          <w:tcPr>
            <w:tcW w:w="2144"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①是否将项目绩效目标细化分解为具体的绩效指标；</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2分）</w:t>
            </w:r>
          </w:p>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②是否通过清晰、可衡量的指标值予以体现；</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2分）</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③是否与项目目标任务数或计划数相对应。</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1分）</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p>
            <w:pPr>
              <w:widowControl/>
              <w:spacing w:line="240" w:lineRule="exact"/>
              <w:jc w:val="center"/>
              <w:rPr>
                <w:rFonts w:hint="eastAsia" w:ascii="宋体" w:hAnsi="宋体" w:eastAsia="宋体" w:cs="宋体"/>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55" w:type="dxa"/>
            <w:vMerge w:val="continue"/>
            <w:shd w:val="clear" w:color="auto" w:fill="FFFFFF"/>
            <w:noWrap w:val="0"/>
            <w:vAlign w:val="center"/>
          </w:tcPr>
          <w:p>
            <w:pPr>
              <w:spacing w:line="240" w:lineRule="exact"/>
              <w:jc w:val="center"/>
              <w:rPr>
                <w:rFonts w:hint="eastAsia" w:ascii="宋体" w:hAnsi="宋体" w:eastAsia="宋体" w:cs="宋体"/>
                <w:color w:val="000000"/>
                <w:kern w:val="0"/>
                <w:sz w:val="21"/>
                <w:szCs w:val="21"/>
              </w:rPr>
            </w:pPr>
          </w:p>
        </w:tc>
        <w:tc>
          <w:tcPr>
            <w:tcW w:w="2066"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资金投入</w:t>
            </w:r>
            <w:r>
              <w:rPr>
                <w:rFonts w:hint="eastAsia" w:ascii="宋体" w:hAnsi="宋体" w:eastAsia="宋体" w:cs="宋体"/>
                <w:color w:val="000000"/>
                <w:kern w:val="0"/>
                <w:sz w:val="21"/>
                <w:szCs w:val="21"/>
                <w:lang w:val="en-US" w:eastAsia="zh-CN"/>
              </w:rPr>
              <w:t>5分</w:t>
            </w:r>
          </w:p>
          <w:p>
            <w:pPr>
              <w:spacing w:line="240" w:lineRule="exact"/>
              <w:jc w:val="center"/>
              <w:rPr>
                <w:rFonts w:hint="eastAsia" w:ascii="宋体" w:hAnsi="宋体" w:eastAsia="宋体" w:cs="宋体"/>
                <w:color w:val="000000"/>
                <w:kern w:val="0"/>
                <w:sz w:val="21"/>
                <w:szCs w:val="21"/>
              </w:rPr>
            </w:pP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预算编制</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科学性</w:t>
            </w:r>
          </w:p>
        </w:tc>
        <w:tc>
          <w:tcPr>
            <w:tcW w:w="1261"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2.5</w:t>
            </w:r>
          </w:p>
        </w:tc>
        <w:tc>
          <w:tcPr>
            <w:tcW w:w="2144"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①预算编制是否经过科学论证；</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1分）</w:t>
            </w:r>
          </w:p>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②预算内容与项目内容是否匹配；</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0.5分）</w:t>
            </w:r>
          </w:p>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③预算额度测算依据是否充分，是否按照标准编制；</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0.5分）</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④预算确定的项目投资额或资金量是否与工作任务相匹配。</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0.5分）</w:t>
            </w:r>
          </w:p>
        </w:tc>
        <w:tc>
          <w:tcPr>
            <w:tcW w:w="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55"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c>
          <w:tcPr>
            <w:tcW w:w="2066"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资金分配</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合理性</w:t>
            </w:r>
          </w:p>
        </w:tc>
        <w:tc>
          <w:tcPr>
            <w:tcW w:w="1261"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2.5</w:t>
            </w:r>
          </w:p>
        </w:tc>
        <w:tc>
          <w:tcPr>
            <w:tcW w:w="2144"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①预算资金分配依据是否充分；</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1.25分）</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②资金分配额度是否合理，与项目单位或地方实际是否相适应。</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1.25分）</w:t>
            </w:r>
          </w:p>
        </w:tc>
        <w:tc>
          <w:tcPr>
            <w:tcW w:w="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jc w:val="center"/>
        </w:trPr>
        <w:tc>
          <w:tcPr>
            <w:tcW w:w="955" w:type="dxa"/>
            <w:vMerge w:val="restart"/>
            <w:shd w:val="clear" w:color="auto" w:fill="FFFFFF"/>
            <w:noWrap w:val="0"/>
            <w:vAlign w:val="center"/>
          </w:tcPr>
          <w:p>
            <w:pPr>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过程</w:t>
            </w:r>
            <w:r>
              <w:rPr>
                <w:rFonts w:hint="eastAsia" w:ascii="宋体" w:hAnsi="宋体" w:eastAsia="宋体" w:cs="宋体"/>
                <w:color w:val="000000"/>
                <w:kern w:val="0"/>
                <w:sz w:val="21"/>
                <w:szCs w:val="21"/>
                <w:lang w:val="en-US" w:eastAsia="zh-CN"/>
              </w:rPr>
              <w:t>15分</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2066"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资金管理</w:t>
            </w:r>
            <w:r>
              <w:rPr>
                <w:rFonts w:hint="eastAsia" w:ascii="宋体" w:hAnsi="宋体" w:eastAsia="宋体" w:cs="宋体"/>
                <w:color w:val="000000"/>
                <w:kern w:val="0"/>
                <w:sz w:val="21"/>
                <w:szCs w:val="21"/>
                <w:lang w:val="en-US" w:eastAsia="zh-CN"/>
              </w:rPr>
              <w:t>5分</w:t>
            </w: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资金到位率</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2.5</w:t>
            </w:r>
          </w:p>
        </w:tc>
        <w:tc>
          <w:tcPr>
            <w:tcW w:w="2144" w:type="dxa"/>
            <w:shd w:val="clear" w:color="000000" w:fill="FFFFFF"/>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资金到位率=（实际到位资金/预算资金）×100%。</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2.5分）</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955" w:type="dxa"/>
            <w:vMerge w:val="continue"/>
            <w:shd w:val="clear" w:color="auto" w:fill="FFFFFF"/>
            <w:noWrap w:val="0"/>
            <w:vAlign w:val="center"/>
          </w:tcPr>
          <w:p>
            <w:pPr>
              <w:spacing w:line="240" w:lineRule="exact"/>
              <w:jc w:val="center"/>
              <w:rPr>
                <w:rFonts w:hint="eastAsia" w:ascii="宋体" w:hAnsi="宋体" w:eastAsia="宋体" w:cs="宋体"/>
                <w:color w:val="000000"/>
                <w:kern w:val="0"/>
                <w:sz w:val="21"/>
                <w:szCs w:val="21"/>
              </w:rPr>
            </w:pPr>
          </w:p>
        </w:tc>
        <w:tc>
          <w:tcPr>
            <w:tcW w:w="2066" w:type="dxa"/>
            <w:vMerge w:val="continue"/>
            <w:shd w:val="clear" w:color="auto" w:fill="FFFFFF"/>
            <w:noWrap w:val="0"/>
            <w:vAlign w:val="center"/>
          </w:tcPr>
          <w:p>
            <w:pPr>
              <w:spacing w:line="240" w:lineRule="exact"/>
              <w:jc w:val="center"/>
              <w:rPr>
                <w:rFonts w:hint="eastAsia" w:ascii="宋体" w:hAnsi="宋体" w:eastAsia="宋体" w:cs="宋体"/>
                <w:color w:val="000000"/>
                <w:kern w:val="0"/>
                <w:sz w:val="21"/>
                <w:szCs w:val="21"/>
              </w:rPr>
            </w:pP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预算执行率</w:t>
            </w:r>
          </w:p>
        </w:tc>
        <w:tc>
          <w:tcPr>
            <w:tcW w:w="1261"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2.5</w:t>
            </w:r>
          </w:p>
        </w:tc>
        <w:tc>
          <w:tcPr>
            <w:tcW w:w="2144"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预算执行率=（实际支出资金/实际到位资金）×100%。</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2.5分）</w:t>
            </w:r>
          </w:p>
        </w:tc>
        <w:tc>
          <w:tcPr>
            <w:tcW w:w="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55" w:type="dxa"/>
            <w:vMerge w:val="continue"/>
            <w:shd w:val="clear" w:color="auto" w:fill="FFFFFF"/>
            <w:noWrap w:val="0"/>
            <w:vAlign w:val="center"/>
          </w:tcPr>
          <w:p>
            <w:pPr>
              <w:spacing w:line="240" w:lineRule="exact"/>
              <w:jc w:val="center"/>
              <w:rPr>
                <w:rFonts w:hint="eastAsia" w:ascii="宋体" w:hAnsi="宋体" w:eastAsia="宋体" w:cs="宋体"/>
                <w:color w:val="000000"/>
                <w:kern w:val="0"/>
                <w:sz w:val="21"/>
                <w:szCs w:val="21"/>
              </w:rPr>
            </w:pPr>
          </w:p>
        </w:tc>
        <w:tc>
          <w:tcPr>
            <w:tcW w:w="2066"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资金管理</w:t>
            </w:r>
            <w:r>
              <w:rPr>
                <w:rFonts w:hint="eastAsia" w:ascii="宋体" w:hAnsi="宋体" w:eastAsia="宋体" w:cs="宋体"/>
                <w:color w:val="000000"/>
                <w:kern w:val="0"/>
                <w:sz w:val="21"/>
                <w:szCs w:val="21"/>
                <w:lang w:val="en-US" w:eastAsia="zh-CN"/>
              </w:rPr>
              <w:t>5分</w:t>
            </w: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资金使用</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合规性</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p>
        </w:tc>
        <w:tc>
          <w:tcPr>
            <w:tcW w:w="2144"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①是否符合国家财经法规和财务管理制度以及有关专项资金管理办法的规定；</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1.5分）</w:t>
            </w:r>
          </w:p>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②资金的拨付是否有完整的审批程序和手续；</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1.5分）</w:t>
            </w:r>
          </w:p>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③是否符合项目预算批复或合同规定的用途；</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1分）</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④是否存在截留、挤占、挪用、虚列支出等情况。</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1分）</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5" w:hRule="atLeast"/>
          <w:jc w:val="center"/>
        </w:trPr>
        <w:tc>
          <w:tcPr>
            <w:tcW w:w="955" w:type="dxa"/>
            <w:vMerge w:val="continue"/>
            <w:shd w:val="clear" w:color="auto" w:fill="FFFFFF"/>
            <w:noWrap w:val="0"/>
            <w:vAlign w:val="center"/>
          </w:tcPr>
          <w:p>
            <w:pPr>
              <w:spacing w:line="240" w:lineRule="exact"/>
              <w:jc w:val="center"/>
              <w:rPr>
                <w:rFonts w:hint="eastAsia" w:ascii="宋体" w:hAnsi="宋体" w:eastAsia="宋体" w:cs="宋体"/>
                <w:color w:val="000000"/>
                <w:kern w:val="0"/>
                <w:sz w:val="21"/>
                <w:szCs w:val="21"/>
              </w:rPr>
            </w:pPr>
          </w:p>
        </w:tc>
        <w:tc>
          <w:tcPr>
            <w:tcW w:w="2066"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组织实施</w:t>
            </w:r>
            <w:r>
              <w:rPr>
                <w:rFonts w:hint="eastAsia" w:ascii="宋体" w:hAnsi="宋体" w:eastAsia="宋体" w:cs="宋体"/>
                <w:color w:val="000000"/>
                <w:kern w:val="0"/>
                <w:sz w:val="21"/>
                <w:szCs w:val="21"/>
                <w:lang w:val="en-US" w:eastAsia="zh-CN"/>
              </w:rPr>
              <w:t>5分</w:t>
            </w:r>
          </w:p>
          <w:p>
            <w:pPr>
              <w:spacing w:line="240" w:lineRule="exact"/>
              <w:jc w:val="center"/>
              <w:rPr>
                <w:rFonts w:hint="eastAsia" w:ascii="宋体" w:hAnsi="宋体" w:eastAsia="宋体" w:cs="宋体"/>
                <w:color w:val="000000"/>
                <w:kern w:val="0"/>
                <w:sz w:val="21"/>
                <w:szCs w:val="21"/>
              </w:rPr>
            </w:pP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管理制度</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健全性</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2.5</w:t>
            </w:r>
          </w:p>
        </w:tc>
        <w:tc>
          <w:tcPr>
            <w:tcW w:w="2144"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①是否已制定或具有相应的财务和业务管理制度；</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1.25分）</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②财务和业务管理制度是否合法、合规、完整。</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1.25分）</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55"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c>
          <w:tcPr>
            <w:tcW w:w="2066"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制度执行</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有效性</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2.5</w:t>
            </w:r>
          </w:p>
        </w:tc>
        <w:tc>
          <w:tcPr>
            <w:tcW w:w="2144"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①是否遵守相关法律法规和相关管理规定；</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1分）</w:t>
            </w:r>
          </w:p>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②项目调整及支出调整手续是否完备；</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0.5分）</w:t>
            </w:r>
          </w:p>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③项目合同书、验收报告、技术鉴定等资料是否齐全并及时归档；</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0.5分）</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④项目实施的人员条件、场地设备、信息支撑等是否落实到位。</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0.5分）</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55"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产出</w:t>
            </w:r>
            <w:r>
              <w:rPr>
                <w:rFonts w:hint="eastAsia" w:ascii="宋体" w:hAnsi="宋体" w:eastAsia="宋体" w:cs="宋体"/>
                <w:color w:val="000000"/>
                <w:kern w:val="0"/>
                <w:sz w:val="21"/>
                <w:szCs w:val="21"/>
                <w:lang w:val="en-US" w:eastAsia="zh-CN"/>
              </w:rPr>
              <w:t>50分</w:t>
            </w:r>
          </w:p>
        </w:tc>
        <w:tc>
          <w:tcPr>
            <w:tcW w:w="2066"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产出数量</w:t>
            </w:r>
            <w:r>
              <w:rPr>
                <w:rFonts w:hint="eastAsia" w:ascii="宋体" w:hAnsi="宋体" w:eastAsia="宋体" w:cs="宋体"/>
                <w:color w:val="000000"/>
                <w:kern w:val="0"/>
                <w:sz w:val="21"/>
                <w:szCs w:val="21"/>
                <w:lang w:val="en-US" w:eastAsia="zh-CN"/>
              </w:rPr>
              <w:t>15分</w:t>
            </w: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场馆免费开放300天以上</w:t>
            </w:r>
            <w:r>
              <w:rPr>
                <w:rFonts w:hint="eastAsia" w:ascii="宋体" w:hAnsi="宋体" w:eastAsia="宋体" w:cs="宋体"/>
                <w:i w:val="0"/>
                <w:iCs w:val="0"/>
                <w:color w:val="000000"/>
                <w:kern w:val="0"/>
                <w:sz w:val="21"/>
                <w:szCs w:val="21"/>
                <w:u w:val="none"/>
                <w:lang w:val="en-US" w:eastAsia="zh-CN" w:bidi="ar"/>
              </w:rPr>
              <w:t>完成率100%</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c>
          <w:tcPr>
            <w:tcW w:w="2144"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场馆免费开放≧300天得15分，低于300天，每少一天扣一分，扣完为止。</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955" w:type="dxa"/>
            <w:vMerge w:val="continue"/>
            <w:shd w:val="clear" w:color="auto" w:fill="FFFFFF"/>
            <w:noWrap w:val="0"/>
            <w:vAlign w:val="center"/>
          </w:tcPr>
          <w:p>
            <w:pPr>
              <w:widowControl/>
              <w:spacing w:line="240" w:lineRule="exact"/>
              <w:jc w:val="center"/>
              <w:rPr>
                <w:rFonts w:hint="eastAsia" w:ascii="宋体" w:hAnsi="宋体" w:eastAsia="宋体" w:cs="宋体"/>
                <w:sz w:val="21"/>
                <w:szCs w:val="21"/>
              </w:rPr>
            </w:pPr>
          </w:p>
        </w:tc>
        <w:tc>
          <w:tcPr>
            <w:tcW w:w="2066" w:type="dxa"/>
            <w:vMerge w:val="continue"/>
            <w:shd w:val="clear" w:color="auto" w:fill="FFFFFF"/>
            <w:noWrap w:val="0"/>
            <w:vAlign w:val="center"/>
          </w:tcPr>
          <w:p>
            <w:pPr>
              <w:widowControl/>
              <w:spacing w:line="240" w:lineRule="exact"/>
              <w:jc w:val="center"/>
              <w:rPr>
                <w:rFonts w:hint="eastAsia" w:ascii="宋体" w:hAnsi="宋体" w:eastAsia="宋体" w:cs="宋体"/>
                <w:sz w:val="21"/>
                <w:szCs w:val="21"/>
              </w:rPr>
            </w:pP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场馆设备维修维护6次完成率100%</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c>
          <w:tcPr>
            <w:tcW w:w="2144"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实际完成率=（实际产出数/计划产出数）×100%。</w:t>
            </w:r>
          </w:p>
          <w:p>
            <w:pPr>
              <w:widowControl/>
              <w:spacing w:line="240" w:lineRule="exact"/>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得分=实际完成率*分值权重</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955" w:type="dxa"/>
            <w:vMerge w:val="continue"/>
            <w:shd w:val="clear" w:color="auto" w:fill="FFFFFF"/>
            <w:noWrap w:val="0"/>
            <w:vAlign w:val="center"/>
          </w:tcPr>
          <w:p>
            <w:pPr>
              <w:widowControl/>
              <w:spacing w:line="240" w:lineRule="exact"/>
              <w:jc w:val="center"/>
              <w:rPr>
                <w:rFonts w:hint="eastAsia" w:ascii="宋体" w:hAnsi="宋体" w:eastAsia="宋体" w:cs="宋体"/>
                <w:sz w:val="21"/>
                <w:szCs w:val="21"/>
              </w:rPr>
            </w:pPr>
          </w:p>
        </w:tc>
        <w:tc>
          <w:tcPr>
            <w:tcW w:w="2066" w:type="dxa"/>
            <w:vMerge w:val="continue"/>
            <w:shd w:val="clear" w:color="auto" w:fill="FFFFFF"/>
            <w:noWrap w:val="0"/>
            <w:vAlign w:val="center"/>
          </w:tcPr>
          <w:p>
            <w:pPr>
              <w:widowControl/>
              <w:spacing w:line="240" w:lineRule="exact"/>
              <w:jc w:val="center"/>
              <w:rPr>
                <w:rFonts w:hint="eastAsia" w:ascii="宋体" w:hAnsi="宋体" w:eastAsia="宋体" w:cs="宋体"/>
                <w:sz w:val="21"/>
                <w:szCs w:val="21"/>
              </w:rPr>
            </w:pP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物业管理面积15000M²完成率100%</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c>
          <w:tcPr>
            <w:tcW w:w="2144"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实际完成率=（实际产出数/计划产出数）×100%。</w:t>
            </w:r>
          </w:p>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得分=实际完成率*分值权重</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55"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c>
          <w:tcPr>
            <w:tcW w:w="2066"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产出质量</w:t>
            </w:r>
            <w:r>
              <w:rPr>
                <w:rFonts w:hint="eastAsia" w:ascii="宋体" w:hAnsi="宋体" w:eastAsia="宋体" w:cs="宋体"/>
                <w:color w:val="000000"/>
                <w:kern w:val="0"/>
                <w:sz w:val="21"/>
                <w:szCs w:val="21"/>
                <w:lang w:val="en-US" w:eastAsia="zh-CN"/>
              </w:rPr>
              <w:t>15分</w:t>
            </w: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场馆免费开放安全运行率</w:t>
            </w:r>
            <w:r>
              <w:rPr>
                <w:rFonts w:hint="eastAsia" w:ascii="宋体" w:hAnsi="宋体" w:eastAsia="宋体" w:cs="宋体"/>
                <w:i w:val="0"/>
                <w:iCs w:val="0"/>
                <w:color w:val="000000"/>
                <w:kern w:val="0"/>
                <w:sz w:val="21"/>
                <w:szCs w:val="21"/>
                <w:u w:val="none"/>
                <w:lang w:val="en-US" w:eastAsia="zh-CN" w:bidi="ar"/>
              </w:rPr>
              <w:t>100%</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c>
          <w:tcPr>
            <w:tcW w:w="2144" w:type="dxa"/>
            <w:shd w:val="clear" w:color="000000" w:fill="FFFFFF"/>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质量达标率=（质量达标产出数/实际产出数）×100%。</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场馆免费开放安全运行率100%得15分，低于100%得零分。</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55" w:type="dxa"/>
            <w:vMerge w:val="continue"/>
            <w:shd w:val="clear" w:color="auto" w:fill="FFFFFF"/>
            <w:noWrap w:val="0"/>
            <w:vAlign w:val="center"/>
          </w:tcPr>
          <w:p>
            <w:pPr>
              <w:widowControl/>
              <w:spacing w:line="240" w:lineRule="exact"/>
              <w:jc w:val="center"/>
              <w:rPr>
                <w:rFonts w:hint="eastAsia" w:ascii="宋体" w:hAnsi="宋体" w:eastAsia="宋体" w:cs="宋体"/>
                <w:sz w:val="21"/>
                <w:szCs w:val="21"/>
              </w:rPr>
            </w:pPr>
          </w:p>
        </w:tc>
        <w:tc>
          <w:tcPr>
            <w:tcW w:w="2066" w:type="dxa"/>
            <w:vMerge w:val="continue"/>
            <w:shd w:val="clear" w:color="auto" w:fill="FFFFFF"/>
            <w:noWrap w:val="0"/>
            <w:vAlign w:val="center"/>
          </w:tcPr>
          <w:p>
            <w:pPr>
              <w:widowControl/>
              <w:spacing w:line="240" w:lineRule="exact"/>
              <w:jc w:val="center"/>
              <w:rPr>
                <w:rFonts w:hint="eastAsia" w:ascii="宋体" w:hAnsi="宋体" w:eastAsia="宋体" w:cs="宋体"/>
                <w:sz w:val="21"/>
                <w:szCs w:val="21"/>
              </w:rPr>
            </w:pP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场馆设备维修后正常运行达标率100%</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c>
          <w:tcPr>
            <w:tcW w:w="2144"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质量达标率=（质量达标产出数/实际产出数）×100%。</w:t>
            </w:r>
          </w:p>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得分=质量达标率*分值权重</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55" w:type="dxa"/>
            <w:vMerge w:val="continue"/>
            <w:shd w:val="clear" w:color="auto" w:fill="FFFFFF"/>
            <w:noWrap w:val="0"/>
            <w:vAlign w:val="center"/>
          </w:tcPr>
          <w:p>
            <w:pPr>
              <w:widowControl/>
              <w:spacing w:line="240" w:lineRule="exact"/>
              <w:jc w:val="center"/>
              <w:rPr>
                <w:rFonts w:hint="eastAsia" w:ascii="宋体" w:hAnsi="宋体" w:eastAsia="宋体" w:cs="宋体"/>
                <w:sz w:val="21"/>
                <w:szCs w:val="21"/>
              </w:rPr>
            </w:pPr>
          </w:p>
        </w:tc>
        <w:tc>
          <w:tcPr>
            <w:tcW w:w="2066" w:type="dxa"/>
            <w:vMerge w:val="continue"/>
            <w:shd w:val="clear" w:color="auto" w:fill="FFFFFF"/>
            <w:noWrap w:val="0"/>
            <w:vAlign w:val="center"/>
          </w:tcPr>
          <w:p>
            <w:pPr>
              <w:widowControl/>
              <w:spacing w:line="240" w:lineRule="exact"/>
              <w:jc w:val="center"/>
              <w:rPr>
                <w:rFonts w:hint="eastAsia" w:ascii="宋体" w:hAnsi="宋体" w:eastAsia="宋体" w:cs="宋体"/>
                <w:sz w:val="21"/>
                <w:szCs w:val="21"/>
              </w:rPr>
            </w:pP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rPr>
            </w:pPr>
            <w:r>
              <w:rPr>
                <w:rFonts w:hint="eastAsia" w:ascii="宋体" w:hAnsi="宋体" w:eastAsia="宋体" w:cs="宋体"/>
                <w:color w:val="000000"/>
                <w:kern w:val="0"/>
                <w:sz w:val="21"/>
                <w:szCs w:val="21"/>
                <w:lang w:val="en-US" w:eastAsia="zh-CN"/>
              </w:rPr>
              <w:t>物业公司招投标政府采购达标率100%</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c>
          <w:tcPr>
            <w:tcW w:w="2144"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质量达标率=（质量达标产出数/实际产出数）×100%。</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得分=质量达标率*分值权重</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55" w:type="dxa"/>
            <w:vMerge w:val="continue"/>
            <w:shd w:val="clear" w:color="auto" w:fill="FFFFFF"/>
            <w:noWrap w:val="0"/>
            <w:vAlign w:val="center"/>
          </w:tcPr>
          <w:p>
            <w:pPr>
              <w:spacing w:line="240" w:lineRule="exact"/>
              <w:jc w:val="center"/>
              <w:rPr>
                <w:rFonts w:hint="eastAsia" w:ascii="宋体" w:hAnsi="宋体" w:eastAsia="宋体" w:cs="宋体"/>
                <w:color w:val="000000"/>
                <w:kern w:val="0"/>
                <w:sz w:val="21"/>
                <w:szCs w:val="21"/>
              </w:rPr>
            </w:pPr>
          </w:p>
        </w:tc>
        <w:tc>
          <w:tcPr>
            <w:tcW w:w="2066" w:type="dxa"/>
            <w:vMerge w:val="restart"/>
            <w:shd w:val="clear" w:color="auto" w:fill="FFFFFF"/>
            <w:noWrap w:val="0"/>
            <w:vAlign w:val="center"/>
          </w:tcPr>
          <w:p>
            <w:pPr>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产出时效</w:t>
            </w:r>
            <w:r>
              <w:rPr>
                <w:rFonts w:hint="eastAsia" w:ascii="宋体" w:hAnsi="宋体" w:eastAsia="宋体" w:cs="宋体"/>
                <w:color w:val="000000"/>
                <w:kern w:val="0"/>
                <w:sz w:val="21"/>
                <w:szCs w:val="21"/>
                <w:lang w:val="en-US" w:eastAsia="zh-CN"/>
              </w:rPr>
              <w:t>10分</w:t>
            </w: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rPr>
            </w:pPr>
            <w:r>
              <w:rPr>
                <w:rFonts w:hint="eastAsia" w:ascii="宋体" w:hAnsi="宋体" w:eastAsia="宋体" w:cs="宋体"/>
                <w:color w:val="000000"/>
                <w:kern w:val="0"/>
                <w:sz w:val="21"/>
                <w:szCs w:val="21"/>
                <w:lang w:val="en-US" w:eastAsia="zh-CN"/>
              </w:rPr>
              <w:t>场馆免费开放项目及时完成率100%</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c>
          <w:tcPr>
            <w:tcW w:w="2144" w:type="dxa"/>
            <w:shd w:val="clear" w:color="000000" w:fill="FFFFFF"/>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时效及时率</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时效</w:t>
            </w:r>
            <w:r>
              <w:rPr>
                <w:rFonts w:hint="eastAsia" w:ascii="宋体" w:hAnsi="宋体" w:eastAsia="宋体" w:cs="宋体"/>
                <w:color w:val="000000"/>
                <w:kern w:val="0"/>
                <w:sz w:val="21"/>
                <w:szCs w:val="21"/>
              </w:rPr>
              <w:t>产出数/实际产出数）×100%。</w:t>
            </w:r>
          </w:p>
          <w:p>
            <w:pPr>
              <w:widowControl/>
              <w:spacing w:line="24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2020年12月31日前完成得10分，否则得零分。</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955" w:type="dxa"/>
            <w:vMerge w:val="continue"/>
            <w:shd w:val="clear" w:color="auto" w:fill="FFFFFF"/>
            <w:noWrap w:val="0"/>
            <w:vAlign w:val="center"/>
          </w:tcPr>
          <w:p>
            <w:pPr>
              <w:spacing w:line="240" w:lineRule="exact"/>
              <w:jc w:val="center"/>
              <w:rPr>
                <w:rFonts w:hint="eastAsia" w:ascii="宋体" w:hAnsi="宋体" w:eastAsia="宋体" w:cs="宋体"/>
                <w:color w:val="000000"/>
                <w:kern w:val="0"/>
                <w:sz w:val="21"/>
                <w:szCs w:val="21"/>
              </w:rPr>
            </w:pPr>
          </w:p>
        </w:tc>
        <w:tc>
          <w:tcPr>
            <w:tcW w:w="2066" w:type="dxa"/>
            <w:vMerge w:val="continue"/>
            <w:shd w:val="clear" w:color="auto" w:fill="FFFFFF"/>
            <w:noWrap w:val="0"/>
            <w:vAlign w:val="center"/>
          </w:tcPr>
          <w:p>
            <w:pPr>
              <w:spacing w:line="240" w:lineRule="exact"/>
              <w:jc w:val="center"/>
              <w:rPr>
                <w:rFonts w:hint="eastAsia" w:ascii="宋体" w:hAnsi="宋体" w:eastAsia="宋体" w:cs="宋体"/>
                <w:color w:val="000000"/>
                <w:kern w:val="0"/>
                <w:sz w:val="21"/>
                <w:szCs w:val="21"/>
              </w:rPr>
            </w:pP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场馆设备维修维护及时率100%</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c>
          <w:tcPr>
            <w:tcW w:w="2144"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时效及时率</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时效</w:t>
            </w:r>
            <w:r>
              <w:rPr>
                <w:rFonts w:hint="eastAsia" w:ascii="宋体" w:hAnsi="宋体" w:eastAsia="宋体" w:cs="宋体"/>
                <w:color w:val="000000"/>
                <w:kern w:val="0"/>
                <w:sz w:val="21"/>
                <w:szCs w:val="21"/>
              </w:rPr>
              <w:t>产出数/实际产出数）×100%。</w:t>
            </w:r>
          </w:p>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得分=时效及时率*分值权重</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955" w:type="dxa"/>
            <w:vMerge w:val="continue"/>
            <w:shd w:val="clear" w:color="auto" w:fill="FFFFFF"/>
            <w:noWrap w:val="0"/>
            <w:vAlign w:val="center"/>
          </w:tcPr>
          <w:p>
            <w:pPr>
              <w:spacing w:line="240" w:lineRule="exact"/>
              <w:jc w:val="center"/>
              <w:rPr>
                <w:rFonts w:hint="eastAsia" w:ascii="宋体" w:hAnsi="宋体" w:eastAsia="宋体" w:cs="宋体"/>
                <w:color w:val="000000"/>
                <w:kern w:val="0"/>
                <w:sz w:val="21"/>
                <w:szCs w:val="21"/>
              </w:rPr>
            </w:pPr>
          </w:p>
        </w:tc>
        <w:tc>
          <w:tcPr>
            <w:tcW w:w="2066" w:type="dxa"/>
            <w:vMerge w:val="continue"/>
            <w:shd w:val="clear" w:color="auto" w:fill="FFFFFF"/>
            <w:noWrap w:val="0"/>
            <w:vAlign w:val="center"/>
          </w:tcPr>
          <w:p>
            <w:pPr>
              <w:spacing w:line="240" w:lineRule="exact"/>
              <w:jc w:val="center"/>
              <w:rPr>
                <w:rFonts w:hint="eastAsia" w:ascii="宋体" w:hAnsi="宋体" w:eastAsia="宋体" w:cs="宋体"/>
                <w:color w:val="000000"/>
                <w:kern w:val="0"/>
                <w:sz w:val="21"/>
                <w:szCs w:val="21"/>
              </w:rPr>
            </w:pP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物业处理各类问题及时率100%</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c>
          <w:tcPr>
            <w:tcW w:w="2144"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时效及时率</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时效</w:t>
            </w:r>
            <w:r>
              <w:rPr>
                <w:rFonts w:hint="eastAsia" w:ascii="宋体" w:hAnsi="宋体" w:eastAsia="宋体" w:cs="宋体"/>
                <w:color w:val="000000"/>
                <w:kern w:val="0"/>
                <w:sz w:val="21"/>
                <w:szCs w:val="21"/>
              </w:rPr>
              <w:t>产出数/实际产出数）×100%。</w:t>
            </w:r>
          </w:p>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得分=时效及时率*分值权重</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jc w:val="center"/>
        </w:trPr>
        <w:tc>
          <w:tcPr>
            <w:tcW w:w="955"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c>
          <w:tcPr>
            <w:tcW w:w="2066"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产出成本</w:t>
            </w:r>
            <w:r>
              <w:rPr>
                <w:rFonts w:hint="eastAsia" w:ascii="宋体" w:hAnsi="宋体" w:eastAsia="宋体" w:cs="宋体"/>
                <w:color w:val="000000"/>
                <w:kern w:val="0"/>
                <w:sz w:val="21"/>
                <w:szCs w:val="21"/>
                <w:lang w:val="en-US" w:eastAsia="zh-CN"/>
              </w:rPr>
              <w:t>10分</w:t>
            </w: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场馆免费开放水电成本控制率100%</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c>
          <w:tcPr>
            <w:tcW w:w="2144"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成本控制率</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成本计划</w:t>
            </w:r>
            <w:r>
              <w:rPr>
                <w:rFonts w:hint="eastAsia" w:ascii="宋体" w:hAnsi="宋体" w:eastAsia="宋体" w:cs="宋体"/>
                <w:color w:val="000000"/>
                <w:kern w:val="0"/>
                <w:sz w:val="21"/>
                <w:szCs w:val="21"/>
              </w:rPr>
              <w:t>数/实际</w:t>
            </w:r>
            <w:r>
              <w:rPr>
                <w:rFonts w:hint="eastAsia" w:ascii="宋体" w:hAnsi="宋体" w:eastAsia="宋体" w:cs="宋体"/>
                <w:color w:val="000000"/>
                <w:kern w:val="0"/>
                <w:sz w:val="21"/>
                <w:szCs w:val="21"/>
                <w:lang w:val="en-US" w:eastAsia="zh-CN"/>
              </w:rPr>
              <w:t>支出</w:t>
            </w:r>
            <w:r>
              <w:rPr>
                <w:rFonts w:hint="eastAsia" w:ascii="宋体" w:hAnsi="宋体" w:eastAsia="宋体" w:cs="宋体"/>
                <w:color w:val="000000"/>
                <w:kern w:val="0"/>
                <w:sz w:val="21"/>
                <w:szCs w:val="21"/>
              </w:rPr>
              <w:t>数）×100%。</w:t>
            </w:r>
          </w:p>
          <w:p>
            <w:pPr>
              <w:widowControl/>
              <w:spacing w:line="24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成本控制率≤100%得满分，超出5%得0分</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55"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c>
          <w:tcPr>
            <w:tcW w:w="2066"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场馆设备维修维护成本控制率100%</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c>
          <w:tcPr>
            <w:tcW w:w="2144"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成本控制率</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成本计划</w:t>
            </w:r>
            <w:r>
              <w:rPr>
                <w:rFonts w:hint="eastAsia" w:ascii="宋体" w:hAnsi="宋体" w:eastAsia="宋体" w:cs="宋体"/>
                <w:color w:val="000000"/>
                <w:kern w:val="0"/>
                <w:sz w:val="21"/>
                <w:szCs w:val="21"/>
              </w:rPr>
              <w:t>数/实际</w:t>
            </w:r>
            <w:r>
              <w:rPr>
                <w:rFonts w:hint="eastAsia" w:ascii="宋体" w:hAnsi="宋体" w:eastAsia="宋体" w:cs="宋体"/>
                <w:color w:val="000000"/>
                <w:kern w:val="0"/>
                <w:sz w:val="21"/>
                <w:szCs w:val="21"/>
                <w:lang w:val="en-US" w:eastAsia="zh-CN"/>
              </w:rPr>
              <w:t>支出</w:t>
            </w:r>
            <w:r>
              <w:rPr>
                <w:rFonts w:hint="eastAsia" w:ascii="宋体" w:hAnsi="宋体" w:eastAsia="宋体" w:cs="宋体"/>
                <w:color w:val="000000"/>
                <w:kern w:val="0"/>
                <w:sz w:val="21"/>
                <w:szCs w:val="21"/>
              </w:rPr>
              <w:t>数）×100%。</w:t>
            </w:r>
          </w:p>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成本控制率≤100%得满分，超出5%得0分</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55"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c>
          <w:tcPr>
            <w:tcW w:w="2066"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物业管理费成本控制率100%</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c>
          <w:tcPr>
            <w:tcW w:w="2144"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成本控制率</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成本计划</w:t>
            </w:r>
            <w:r>
              <w:rPr>
                <w:rFonts w:hint="eastAsia" w:ascii="宋体" w:hAnsi="宋体" w:eastAsia="宋体" w:cs="宋体"/>
                <w:color w:val="000000"/>
                <w:kern w:val="0"/>
                <w:sz w:val="21"/>
                <w:szCs w:val="21"/>
              </w:rPr>
              <w:t>数/实际</w:t>
            </w:r>
            <w:r>
              <w:rPr>
                <w:rFonts w:hint="eastAsia" w:ascii="宋体" w:hAnsi="宋体" w:eastAsia="宋体" w:cs="宋体"/>
                <w:color w:val="000000"/>
                <w:kern w:val="0"/>
                <w:sz w:val="21"/>
                <w:szCs w:val="21"/>
                <w:lang w:val="en-US" w:eastAsia="zh-CN"/>
              </w:rPr>
              <w:t>支出</w:t>
            </w:r>
            <w:r>
              <w:rPr>
                <w:rFonts w:hint="eastAsia" w:ascii="宋体" w:hAnsi="宋体" w:eastAsia="宋体" w:cs="宋体"/>
                <w:color w:val="000000"/>
                <w:kern w:val="0"/>
                <w:sz w:val="21"/>
                <w:szCs w:val="21"/>
              </w:rPr>
              <w:t>数）×100%。</w:t>
            </w:r>
          </w:p>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成本控制率≤100%得满分，超出5%得0分</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55"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效益　</w:t>
            </w:r>
            <w:r>
              <w:rPr>
                <w:rFonts w:hint="eastAsia" w:ascii="宋体" w:hAnsi="宋体" w:eastAsia="宋体" w:cs="宋体"/>
                <w:color w:val="000000"/>
                <w:kern w:val="0"/>
                <w:sz w:val="21"/>
                <w:szCs w:val="21"/>
                <w:lang w:val="en-US" w:eastAsia="zh-CN"/>
              </w:rPr>
              <w:t>10分</w:t>
            </w:r>
          </w:p>
        </w:tc>
        <w:tc>
          <w:tcPr>
            <w:tcW w:w="2066"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经济效益</w:t>
            </w: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1261"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2144"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c>
          <w:tcPr>
            <w:tcW w:w="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55"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c>
          <w:tcPr>
            <w:tcW w:w="2066"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社会效益</w:t>
            </w:r>
            <w:r>
              <w:rPr>
                <w:rFonts w:hint="eastAsia" w:ascii="宋体" w:hAnsi="宋体" w:eastAsia="宋体" w:cs="宋体"/>
                <w:color w:val="000000"/>
                <w:kern w:val="0"/>
                <w:sz w:val="21"/>
                <w:szCs w:val="21"/>
                <w:lang w:val="en-US" w:eastAsia="zh-CN"/>
              </w:rPr>
              <w:t>5分</w:t>
            </w: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服务功能提升，全年共接待读者24.2万余人，借阅书籍16.2万余册次</w:t>
            </w:r>
          </w:p>
        </w:tc>
        <w:tc>
          <w:tcPr>
            <w:tcW w:w="1261"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c>
          <w:tcPr>
            <w:tcW w:w="2144"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项目实施所产生的社会效益</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达到或超过预期值得满分，未达到预期值按比例扣分。</w:t>
            </w:r>
          </w:p>
        </w:tc>
        <w:tc>
          <w:tcPr>
            <w:tcW w:w="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955" w:type="dxa"/>
            <w:vMerge w:val="continue"/>
            <w:shd w:val="clear" w:color="auto" w:fill="FFFFFF"/>
            <w:noWrap w:val="0"/>
            <w:vAlign w:val="center"/>
          </w:tcPr>
          <w:p>
            <w:pPr>
              <w:widowControl/>
              <w:spacing w:line="240" w:lineRule="exact"/>
              <w:jc w:val="center"/>
            </w:pPr>
          </w:p>
        </w:tc>
        <w:tc>
          <w:tcPr>
            <w:tcW w:w="2066" w:type="dxa"/>
            <w:vMerge w:val="continue"/>
            <w:shd w:val="clear" w:color="auto" w:fill="FFFFFF"/>
            <w:noWrap w:val="0"/>
            <w:vAlign w:val="center"/>
          </w:tcPr>
          <w:p>
            <w:pPr>
              <w:widowControl/>
              <w:spacing w:line="240" w:lineRule="exact"/>
              <w:jc w:val="center"/>
              <w:rPr>
                <w:rFonts w:hint="eastAsia" w:ascii="宋体" w:hAnsi="宋体" w:eastAsia="宋体" w:cs="宋体"/>
                <w:sz w:val="21"/>
                <w:szCs w:val="21"/>
              </w:rPr>
            </w:pP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sz w:val="21"/>
                <w:szCs w:val="21"/>
              </w:rPr>
              <w:t>获得国家级表彰3项，省市级表彰8项</w:t>
            </w:r>
          </w:p>
        </w:tc>
        <w:tc>
          <w:tcPr>
            <w:tcW w:w="1261"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c>
          <w:tcPr>
            <w:tcW w:w="2144"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rPr>
            </w:pPr>
            <w:r>
              <w:rPr>
                <w:rFonts w:hint="eastAsia" w:ascii="宋体" w:hAnsi="宋体" w:eastAsia="宋体" w:cs="宋体"/>
                <w:color w:val="000000"/>
                <w:kern w:val="0"/>
                <w:sz w:val="21"/>
                <w:szCs w:val="21"/>
              </w:rPr>
              <w:t>项目实施所产生的社会效益</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达到或超过预期值得满分，未达到预期值按比例扣分。</w:t>
            </w:r>
          </w:p>
        </w:tc>
        <w:tc>
          <w:tcPr>
            <w:tcW w:w="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55"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c>
          <w:tcPr>
            <w:tcW w:w="2066"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生态效益</w:t>
            </w: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无</w:t>
            </w:r>
          </w:p>
        </w:tc>
        <w:tc>
          <w:tcPr>
            <w:tcW w:w="1261"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无</w:t>
            </w:r>
          </w:p>
        </w:tc>
        <w:tc>
          <w:tcPr>
            <w:tcW w:w="2144"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无</w:t>
            </w:r>
          </w:p>
        </w:tc>
        <w:tc>
          <w:tcPr>
            <w:tcW w:w="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55"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c>
          <w:tcPr>
            <w:tcW w:w="2066"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可持续效益</w:t>
            </w:r>
            <w:r>
              <w:rPr>
                <w:rFonts w:hint="eastAsia" w:ascii="宋体" w:hAnsi="宋体" w:eastAsia="宋体" w:cs="宋体"/>
                <w:color w:val="000000"/>
                <w:kern w:val="0"/>
                <w:sz w:val="21"/>
                <w:szCs w:val="21"/>
                <w:lang w:val="en-US" w:eastAsia="zh-CN"/>
              </w:rPr>
              <w:t>5分</w:t>
            </w: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全民阅读影响力显著提升</w:t>
            </w:r>
          </w:p>
        </w:tc>
        <w:tc>
          <w:tcPr>
            <w:tcW w:w="1261"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c>
          <w:tcPr>
            <w:tcW w:w="2144"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达到或超过预期值得满分，未达到预期值按比例扣分。</w:t>
            </w:r>
          </w:p>
        </w:tc>
        <w:tc>
          <w:tcPr>
            <w:tcW w:w="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55"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c>
          <w:tcPr>
            <w:tcW w:w="2066"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物业管理制度及方式持续更新</w:t>
            </w:r>
          </w:p>
        </w:tc>
        <w:tc>
          <w:tcPr>
            <w:tcW w:w="1261"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c>
          <w:tcPr>
            <w:tcW w:w="2144"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达到或超过预期值得满分，未达到预期值按比例扣分。</w:t>
            </w:r>
          </w:p>
        </w:tc>
        <w:tc>
          <w:tcPr>
            <w:tcW w:w="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55"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满意度</w:t>
            </w:r>
            <w:r>
              <w:rPr>
                <w:rFonts w:hint="eastAsia" w:ascii="宋体" w:hAnsi="宋体" w:eastAsia="宋体" w:cs="宋体"/>
                <w:color w:val="000000"/>
                <w:kern w:val="0"/>
                <w:sz w:val="21"/>
                <w:szCs w:val="21"/>
                <w:lang w:val="en-US" w:eastAsia="zh-CN"/>
              </w:rPr>
              <w:t>5分</w:t>
            </w:r>
          </w:p>
        </w:tc>
        <w:tc>
          <w:tcPr>
            <w:tcW w:w="2066"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读者</w:t>
            </w:r>
            <w:r>
              <w:rPr>
                <w:rFonts w:hint="eastAsia" w:ascii="宋体" w:hAnsi="宋体" w:eastAsia="宋体" w:cs="宋体"/>
                <w:color w:val="000000"/>
                <w:kern w:val="0"/>
                <w:sz w:val="21"/>
                <w:szCs w:val="21"/>
              </w:rPr>
              <w:t>满意度</w:t>
            </w:r>
            <w:r>
              <w:rPr>
                <w:rFonts w:hint="eastAsia" w:ascii="宋体" w:hAnsi="宋体" w:eastAsia="宋体" w:cs="宋体"/>
                <w:color w:val="000000"/>
                <w:kern w:val="0"/>
                <w:sz w:val="21"/>
                <w:szCs w:val="21"/>
                <w:lang w:val="en-US" w:eastAsia="zh-CN"/>
              </w:rPr>
              <w:t>5分</w:t>
            </w: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职工满意度</w:t>
            </w:r>
          </w:p>
        </w:tc>
        <w:tc>
          <w:tcPr>
            <w:tcW w:w="1261"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c>
          <w:tcPr>
            <w:tcW w:w="2144"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职工满意度（95%-100%）得5分，（90%-95%）得4分，（85%-90%）得3分，以此类推。</w:t>
            </w:r>
          </w:p>
        </w:tc>
        <w:tc>
          <w:tcPr>
            <w:tcW w:w="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55"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p>
        </w:tc>
        <w:tc>
          <w:tcPr>
            <w:tcW w:w="2066"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读者</w:t>
            </w:r>
            <w:r>
              <w:rPr>
                <w:rFonts w:hint="eastAsia" w:ascii="宋体" w:hAnsi="宋体" w:eastAsia="宋体" w:cs="宋体"/>
                <w:color w:val="000000"/>
                <w:kern w:val="0"/>
                <w:sz w:val="21"/>
                <w:szCs w:val="21"/>
              </w:rPr>
              <w:t>满意度</w:t>
            </w:r>
          </w:p>
        </w:tc>
        <w:tc>
          <w:tcPr>
            <w:tcW w:w="1261"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c>
          <w:tcPr>
            <w:tcW w:w="2144"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读者满意度（95%-100%）得5分，（90%-95%）得4分，（85%-90%）得3分，以此类推。</w:t>
            </w:r>
          </w:p>
        </w:tc>
        <w:tc>
          <w:tcPr>
            <w:tcW w:w="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138" w:type="dxa"/>
            <w:gridSpan w:val="5"/>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bCs/>
                <w:color w:val="000000"/>
                <w:kern w:val="0"/>
                <w:sz w:val="21"/>
                <w:szCs w:val="21"/>
              </w:rPr>
              <w:t>总分</w:t>
            </w:r>
          </w:p>
        </w:tc>
        <w:tc>
          <w:tcPr>
            <w:tcW w:w="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97</w:t>
            </w:r>
          </w:p>
        </w:tc>
      </w:tr>
    </w:tbl>
    <w:p>
      <w:pPr>
        <w:autoSpaceDE w:val="0"/>
        <w:autoSpaceDN w:val="0"/>
        <w:adjustRightInd w:val="0"/>
        <w:spacing w:line="360" w:lineRule="auto"/>
        <w:ind w:firstLine="602" w:firstLineChars="200"/>
        <w:rPr>
          <w:rFonts w:ascii="宋体" w:hAnsi="宋体" w:eastAsia="宋体" w:cs="等线"/>
          <w:b/>
          <w:sz w:val="30"/>
          <w:szCs w:val="30"/>
          <w:lang w:val="zh-CN"/>
        </w:rPr>
      </w:pPr>
      <w:r>
        <w:rPr>
          <w:rFonts w:hint="eastAsia" w:ascii="宋体" w:hAnsi="宋体" w:eastAsia="宋体" w:cs="等线"/>
          <w:b/>
          <w:sz w:val="30"/>
          <w:szCs w:val="30"/>
          <w:lang w:val="en-US" w:eastAsia="zh-CN"/>
        </w:rPr>
        <w:t>3</w:t>
      </w:r>
      <w:r>
        <w:rPr>
          <w:rFonts w:hint="eastAsia" w:ascii="宋体" w:hAnsi="宋体" w:eastAsia="宋体" w:cs="等线"/>
          <w:b/>
          <w:sz w:val="30"/>
          <w:szCs w:val="30"/>
          <w:lang w:val="zh-CN"/>
        </w:rPr>
        <w:t>、评价方法</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本项目支出绩效评价主要采用的是结果比较法，即数据对比，标准和产出对照，同时辅以访谈、研讨、审计等方法。</w:t>
      </w:r>
    </w:p>
    <w:p>
      <w:pPr>
        <w:autoSpaceDE w:val="0"/>
        <w:autoSpaceDN w:val="0"/>
        <w:adjustRightInd w:val="0"/>
        <w:spacing w:line="360" w:lineRule="auto"/>
        <w:ind w:firstLine="602" w:firstLineChars="200"/>
        <w:rPr>
          <w:rFonts w:ascii="宋体" w:hAnsi="宋体" w:eastAsia="宋体" w:cs="等线"/>
          <w:b/>
          <w:sz w:val="30"/>
          <w:szCs w:val="30"/>
          <w:lang w:val="zh-CN"/>
        </w:rPr>
      </w:pPr>
      <w:r>
        <w:rPr>
          <w:rFonts w:hint="eastAsia" w:ascii="宋体" w:hAnsi="宋体" w:eastAsia="宋体" w:cs="等线"/>
          <w:b/>
          <w:sz w:val="30"/>
          <w:szCs w:val="30"/>
          <w:lang w:val="en-US" w:eastAsia="zh-CN"/>
        </w:rPr>
        <w:t>4</w:t>
      </w:r>
      <w:r>
        <w:rPr>
          <w:rFonts w:hint="eastAsia" w:ascii="宋体" w:hAnsi="宋体" w:eastAsia="宋体" w:cs="等线"/>
          <w:b/>
          <w:sz w:val="30"/>
          <w:szCs w:val="30"/>
        </w:rPr>
        <w:t>、</w:t>
      </w:r>
      <w:r>
        <w:rPr>
          <w:rFonts w:hint="eastAsia" w:ascii="宋体" w:hAnsi="宋体" w:eastAsia="宋体" w:cs="等线"/>
          <w:b/>
          <w:sz w:val="30"/>
          <w:szCs w:val="30"/>
          <w:lang w:val="zh-CN"/>
        </w:rPr>
        <w:t>评价标准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采用计划标准作为</w:t>
      </w:r>
      <w:r>
        <w:rPr>
          <w:rFonts w:hint="eastAsia" w:ascii="宋体" w:hAnsi="宋体" w:cs="宋体"/>
          <w:sz w:val="30"/>
          <w:szCs w:val="30"/>
          <w:lang w:val="en-US" w:eastAsia="zh-CN"/>
        </w:rPr>
        <w:t>2020</w:t>
      </w:r>
      <w:r>
        <w:rPr>
          <w:rFonts w:hint="eastAsia" w:ascii="宋体" w:hAnsi="宋体" w:eastAsia="宋体" w:cs="宋体"/>
          <w:sz w:val="30"/>
          <w:szCs w:val="30"/>
        </w:rPr>
        <w:t>年度免费开放经费项目支出绩效评价标准，即以《</w:t>
      </w:r>
      <w:r>
        <w:rPr>
          <w:rFonts w:hint="eastAsia" w:ascii="宋体" w:hAnsi="宋体" w:cs="宋体"/>
          <w:sz w:val="30"/>
          <w:szCs w:val="30"/>
          <w:lang w:val="en-US" w:eastAsia="zh-CN"/>
        </w:rPr>
        <w:t>2020</w:t>
      </w:r>
      <w:r>
        <w:rPr>
          <w:rFonts w:hint="eastAsia" w:ascii="宋体" w:hAnsi="宋体" w:eastAsia="宋体" w:cs="宋体"/>
          <w:sz w:val="30"/>
          <w:szCs w:val="30"/>
        </w:rPr>
        <w:t>年度免费开放经费项目绩效目标申报表》设定的绩效目标和</w:t>
      </w:r>
      <w:r>
        <w:rPr>
          <w:rFonts w:hint="eastAsia" w:ascii="宋体" w:hAnsi="宋体" w:eastAsia="宋体" w:cs="宋体"/>
          <w:sz w:val="30"/>
          <w:szCs w:val="30"/>
          <w:lang w:eastAsia="zh-CN"/>
        </w:rPr>
        <w:t>市图书馆</w:t>
      </w:r>
      <w:r>
        <w:rPr>
          <w:rFonts w:hint="eastAsia" w:ascii="宋体" w:hAnsi="宋体" w:cs="宋体"/>
          <w:sz w:val="30"/>
          <w:szCs w:val="30"/>
          <w:lang w:val="en-US" w:eastAsia="zh-CN"/>
        </w:rPr>
        <w:t>2020</w:t>
      </w:r>
      <w:r>
        <w:rPr>
          <w:rFonts w:hint="eastAsia" w:ascii="宋体" w:hAnsi="宋体" w:eastAsia="宋体" w:cs="宋体"/>
          <w:sz w:val="30"/>
          <w:szCs w:val="30"/>
        </w:rPr>
        <w:t>年工作计划及</w:t>
      </w:r>
      <w:r>
        <w:rPr>
          <w:rFonts w:hint="eastAsia" w:ascii="宋体" w:hAnsi="宋体" w:cs="宋体"/>
          <w:sz w:val="30"/>
          <w:szCs w:val="30"/>
          <w:lang w:val="en-US" w:eastAsia="zh-CN"/>
        </w:rPr>
        <w:t>2020</w:t>
      </w:r>
      <w:r>
        <w:rPr>
          <w:rFonts w:hint="eastAsia" w:ascii="宋体" w:hAnsi="宋体" w:eastAsia="宋体" w:cs="宋体"/>
          <w:sz w:val="30"/>
          <w:szCs w:val="30"/>
        </w:rPr>
        <w:t>年度免费开放经费项目预算作为评价标准，对</w:t>
      </w:r>
      <w:r>
        <w:rPr>
          <w:rFonts w:hint="eastAsia" w:ascii="宋体" w:hAnsi="宋体" w:cs="宋体"/>
          <w:sz w:val="30"/>
          <w:szCs w:val="30"/>
          <w:lang w:val="en-US" w:eastAsia="zh-CN"/>
        </w:rPr>
        <w:t>2020</w:t>
      </w:r>
      <w:r>
        <w:rPr>
          <w:rFonts w:hint="eastAsia" w:ascii="宋体" w:hAnsi="宋体" w:eastAsia="宋体" w:cs="宋体"/>
          <w:sz w:val="30"/>
          <w:szCs w:val="30"/>
        </w:rPr>
        <w:t>年度免费开放经费项目绩效指标完成情况进行比较。</w:t>
      </w:r>
    </w:p>
    <w:p>
      <w:pPr>
        <w:numPr>
          <w:ilvl w:val="0"/>
          <w:numId w:val="4"/>
        </w:numPr>
        <w:autoSpaceDE w:val="0"/>
        <w:autoSpaceDN w:val="0"/>
        <w:adjustRightInd w:val="0"/>
        <w:spacing w:line="360" w:lineRule="auto"/>
        <w:ind w:firstLine="560"/>
        <w:rPr>
          <w:rFonts w:hint="eastAsia" w:ascii="宋体" w:hAnsi="宋体" w:eastAsia="宋体" w:cs="等线"/>
          <w:b/>
          <w:bCs/>
          <w:sz w:val="30"/>
          <w:szCs w:val="30"/>
          <w:lang w:val="zh-CN"/>
        </w:rPr>
      </w:pPr>
      <w:r>
        <w:rPr>
          <w:rFonts w:hint="eastAsia" w:ascii="宋体" w:hAnsi="宋体" w:eastAsia="宋体" w:cs="等线"/>
          <w:b/>
          <w:bCs/>
          <w:sz w:val="30"/>
          <w:szCs w:val="30"/>
          <w:lang w:val="zh-CN"/>
        </w:rPr>
        <w:t>绩效评价工作过程</w:t>
      </w:r>
    </w:p>
    <w:p>
      <w:pPr>
        <w:numPr>
          <w:ilvl w:val="0"/>
          <w:numId w:val="5"/>
        </w:numPr>
        <w:autoSpaceDE w:val="0"/>
        <w:autoSpaceDN w:val="0"/>
        <w:adjustRightInd w:val="0"/>
        <w:spacing w:line="360" w:lineRule="auto"/>
        <w:ind w:firstLine="602" w:firstLineChars="200"/>
        <w:rPr>
          <w:rFonts w:hint="eastAsia" w:ascii="宋体" w:hAnsi="宋体" w:eastAsia="宋体" w:cs="等线"/>
          <w:b/>
          <w:bCs/>
          <w:sz w:val="30"/>
          <w:szCs w:val="30"/>
          <w:lang w:val="zh-CN"/>
        </w:rPr>
      </w:pPr>
      <w:r>
        <w:rPr>
          <w:rFonts w:hint="eastAsia" w:ascii="宋体" w:hAnsi="宋体" w:eastAsia="宋体" w:cs="等线"/>
          <w:b/>
          <w:bCs/>
          <w:sz w:val="30"/>
          <w:szCs w:val="30"/>
          <w:lang w:val="zh-CN"/>
        </w:rPr>
        <w:t>工作部署阶段</w:t>
      </w:r>
    </w:p>
    <w:p>
      <w:pPr>
        <w:numPr>
          <w:ilvl w:val="0"/>
          <w:numId w:val="0"/>
        </w:numPr>
        <w:autoSpaceDE w:val="0"/>
        <w:autoSpaceDN w:val="0"/>
        <w:adjustRightInd w:val="0"/>
        <w:spacing w:line="360" w:lineRule="auto"/>
        <w:ind w:firstLine="601"/>
        <w:rPr>
          <w:rFonts w:hint="eastAsia" w:ascii="宋体" w:hAnsi="宋体" w:eastAsia="宋体" w:cs="等线"/>
          <w:b w:val="0"/>
          <w:bCs w:val="0"/>
          <w:sz w:val="30"/>
          <w:szCs w:val="30"/>
          <w:lang w:val="en-US" w:eastAsia="zh-CN"/>
        </w:rPr>
      </w:pPr>
      <w:r>
        <w:rPr>
          <w:rFonts w:hint="eastAsia" w:ascii="宋体" w:hAnsi="宋体" w:eastAsia="宋体" w:cs="等线"/>
          <w:b w:val="0"/>
          <w:bCs w:val="0"/>
          <w:sz w:val="30"/>
          <w:szCs w:val="30"/>
          <w:lang w:val="en-US" w:eastAsia="zh-CN"/>
        </w:rPr>
        <w:t>接到进行</w:t>
      </w:r>
      <w:r>
        <w:rPr>
          <w:rFonts w:hint="eastAsia" w:ascii="宋体" w:hAnsi="宋体" w:cs="等线"/>
          <w:b w:val="0"/>
          <w:bCs w:val="0"/>
          <w:sz w:val="30"/>
          <w:szCs w:val="30"/>
          <w:lang w:val="en-US" w:eastAsia="zh-CN"/>
        </w:rPr>
        <w:t>2020</w:t>
      </w:r>
      <w:r>
        <w:rPr>
          <w:rFonts w:hint="eastAsia" w:ascii="宋体" w:hAnsi="宋体" w:eastAsia="宋体" w:cs="等线"/>
          <w:b w:val="0"/>
          <w:bCs w:val="0"/>
          <w:sz w:val="30"/>
          <w:szCs w:val="30"/>
          <w:lang w:val="en-US" w:eastAsia="zh-CN"/>
        </w:rPr>
        <w:t>年度项目绩效评价通知后，市图书馆组织单位相关人员对</w:t>
      </w:r>
      <w:r>
        <w:rPr>
          <w:rFonts w:hint="eastAsia" w:ascii="宋体" w:hAnsi="宋体" w:cs="等线"/>
          <w:b w:val="0"/>
          <w:bCs w:val="0"/>
          <w:sz w:val="30"/>
          <w:szCs w:val="30"/>
          <w:lang w:val="en-US" w:eastAsia="zh-CN"/>
        </w:rPr>
        <w:t>2020</w:t>
      </w:r>
      <w:r>
        <w:rPr>
          <w:rFonts w:hint="eastAsia" w:ascii="宋体" w:hAnsi="宋体" w:eastAsia="宋体" w:cs="等线"/>
          <w:b w:val="0"/>
          <w:bCs w:val="0"/>
          <w:sz w:val="30"/>
          <w:szCs w:val="30"/>
          <w:lang w:val="en-US" w:eastAsia="zh-CN"/>
        </w:rPr>
        <w:t>年度该项工作材料进行梳理汇总，并指定办公室对相关数据进行汇总归集，对绩效评分标准听取各部门的意见，制定各大类指标的三级指标及具体的评分细则，进行讨论研究，拿出最终的绩效考核方案。</w:t>
      </w:r>
    </w:p>
    <w:p>
      <w:pPr>
        <w:numPr>
          <w:ilvl w:val="0"/>
          <w:numId w:val="0"/>
        </w:numPr>
        <w:autoSpaceDE w:val="0"/>
        <w:autoSpaceDN w:val="0"/>
        <w:adjustRightInd w:val="0"/>
        <w:spacing w:line="360" w:lineRule="auto"/>
        <w:ind w:firstLine="601"/>
        <w:rPr>
          <w:rFonts w:hint="default" w:ascii="宋体" w:hAnsi="宋体" w:eastAsia="宋体" w:cs="等线"/>
          <w:b w:val="0"/>
          <w:bCs w:val="0"/>
          <w:sz w:val="30"/>
          <w:szCs w:val="30"/>
          <w:lang w:val="en-US" w:eastAsia="zh-CN"/>
        </w:rPr>
      </w:pPr>
      <w:r>
        <w:rPr>
          <w:rFonts w:hint="eastAsia" w:ascii="宋体" w:hAnsi="宋体" w:eastAsia="宋体" w:cs="等线"/>
          <w:b w:val="0"/>
          <w:bCs w:val="0"/>
          <w:sz w:val="30"/>
          <w:szCs w:val="30"/>
          <w:lang w:val="en-US" w:eastAsia="zh-CN"/>
        </w:rPr>
        <w:t>绩效评价工作过程应实事求是、客观公正、依据充分、数据准确、分析透彻、简明清晰地反映</w:t>
      </w:r>
      <w:r>
        <w:rPr>
          <w:rFonts w:hint="eastAsia" w:ascii="宋体" w:hAnsi="宋体" w:cs="等线"/>
          <w:b w:val="0"/>
          <w:bCs w:val="0"/>
          <w:sz w:val="30"/>
          <w:szCs w:val="30"/>
          <w:lang w:val="en-US" w:eastAsia="zh-CN"/>
        </w:rPr>
        <w:t>2020</w:t>
      </w:r>
      <w:r>
        <w:rPr>
          <w:rFonts w:hint="eastAsia" w:ascii="宋体" w:hAnsi="宋体" w:eastAsia="宋体" w:cs="等线"/>
          <w:b w:val="0"/>
          <w:bCs w:val="0"/>
          <w:sz w:val="30"/>
          <w:szCs w:val="30"/>
          <w:lang w:val="en-US" w:eastAsia="zh-CN"/>
        </w:rPr>
        <w:t>年度免费开放经费项目工作开展情况。</w:t>
      </w:r>
    </w:p>
    <w:p>
      <w:pPr>
        <w:autoSpaceDE w:val="0"/>
        <w:autoSpaceDN w:val="0"/>
        <w:adjustRightInd w:val="0"/>
        <w:spacing w:line="360" w:lineRule="auto"/>
        <w:ind w:firstLine="560"/>
        <w:rPr>
          <w:rFonts w:hint="eastAsia" w:ascii="宋体" w:hAnsi="宋体" w:eastAsia="宋体" w:cs="等线"/>
          <w:b/>
          <w:sz w:val="30"/>
          <w:szCs w:val="30"/>
          <w:lang w:val="zh-CN"/>
        </w:rPr>
      </w:pPr>
      <w:r>
        <w:rPr>
          <w:rFonts w:hint="eastAsia" w:ascii="宋体" w:hAnsi="宋体" w:eastAsia="宋体" w:cs="等线"/>
          <w:b/>
          <w:sz w:val="30"/>
          <w:szCs w:val="30"/>
          <w:lang w:val="zh-CN"/>
        </w:rPr>
        <w:t>2、数据采集阶段</w:t>
      </w:r>
    </w:p>
    <w:p>
      <w:pPr>
        <w:autoSpaceDE w:val="0"/>
        <w:autoSpaceDN w:val="0"/>
        <w:adjustRightInd w:val="0"/>
        <w:spacing w:line="360" w:lineRule="auto"/>
        <w:ind w:firstLine="560"/>
        <w:rPr>
          <w:rFonts w:hint="eastAsia" w:ascii="宋体" w:hAnsi="宋体" w:eastAsia="宋体" w:cs="等线"/>
          <w:sz w:val="30"/>
          <w:szCs w:val="30"/>
          <w:lang w:val="zh-CN"/>
        </w:rPr>
      </w:pPr>
      <w:r>
        <w:rPr>
          <w:rFonts w:hint="eastAsia" w:ascii="宋体" w:hAnsi="宋体" w:eastAsia="宋体" w:cs="等线"/>
          <w:sz w:val="30"/>
          <w:szCs w:val="30"/>
          <w:lang w:val="zh-CN"/>
        </w:rPr>
        <w:t>市图书馆认真做好基础资料和相关数据的收集、整理工作，根据收集的数据资料，详细填报绩效自评相关报表。</w:t>
      </w:r>
    </w:p>
    <w:p>
      <w:pPr>
        <w:autoSpaceDE w:val="0"/>
        <w:autoSpaceDN w:val="0"/>
        <w:adjustRightInd w:val="0"/>
        <w:spacing w:line="360" w:lineRule="auto"/>
        <w:ind w:firstLine="560"/>
        <w:rPr>
          <w:rFonts w:hint="eastAsia" w:ascii="宋体" w:hAnsi="宋体" w:eastAsia="宋体" w:cs="等线"/>
          <w:b/>
          <w:sz w:val="30"/>
          <w:szCs w:val="30"/>
          <w:lang w:val="zh-CN"/>
        </w:rPr>
      </w:pPr>
      <w:r>
        <w:rPr>
          <w:rFonts w:hint="eastAsia" w:ascii="宋体" w:hAnsi="宋体" w:eastAsia="宋体" w:cs="等线"/>
          <w:b/>
          <w:sz w:val="30"/>
          <w:szCs w:val="30"/>
          <w:lang w:val="zh-CN"/>
        </w:rPr>
        <w:t>3、单位自评阶段</w:t>
      </w:r>
    </w:p>
    <w:p>
      <w:pPr>
        <w:spacing w:line="360" w:lineRule="auto"/>
        <w:ind w:firstLine="560"/>
        <w:rPr>
          <w:rFonts w:hint="eastAsia" w:ascii="宋体" w:hAnsi="宋体" w:eastAsia="宋体" w:cs="等线"/>
          <w:b/>
          <w:bCs/>
          <w:sz w:val="30"/>
          <w:szCs w:val="30"/>
          <w:lang w:val="zh-CN"/>
        </w:rPr>
      </w:pPr>
      <w:r>
        <w:rPr>
          <w:rFonts w:hint="eastAsia" w:ascii="宋体" w:hAnsi="宋体" w:eastAsia="宋体" w:cs="Times New Roman"/>
          <w:sz w:val="30"/>
          <w:szCs w:val="30"/>
          <w:lang w:eastAsia="zh-CN"/>
        </w:rPr>
        <w:t>市图书馆</w:t>
      </w:r>
      <w:r>
        <w:rPr>
          <w:rFonts w:hint="eastAsia" w:ascii="宋体" w:hAnsi="宋体" w:eastAsia="宋体" w:cs="Times New Roman"/>
          <w:sz w:val="30"/>
          <w:szCs w:val="30"/>
        </w:rPr>
        <w:t>根据有关数据及评价标准，进行数据分析，根据</w:t>
      </w:r>
      <w:r>
        <w:rPr>
          <w:rFonts w:hint="eastAsia" w:ascii="宋体" w:hAnsi="宋体" w:eastAsia="宋体" w:cs="Times New Roman"/>
          <w:sz w:val="30"/>
          <w:szCs w:val="30"/>
          <w:lang w:eastAsia="zh-CN"/>
        </w:rPr>
        <w:t>主管局</w:t>
      </w:r>
      <w:r>
        <w:rPr>
          <w:rFonts w:hint="eastAsia" w:ascii="宋体" w:hAnsi="宋体" w:eastAsia="宋体" w:cs="Times New Roman"/>
          <w:sz w:val="30"/>
          <w:szCs w:val="30"/>
        </w:rPr>
        <w:t>制定的《南昌市文化广电新闻出版旅游局项目绩效评价指标体系》，对项目填写“项目</w:t>
      </w:r>
      <w:r>
        <w:rPr>
          <w:rFonts w:hint="eastAsia" w:ascii="宋体" w:hAnsi="宋体" w:eastAsia="宋体" w:cs="Times New Roman"/>
          <w:sz w:val="30"/>
          <w:szCs w:val="30"/>
          <w:lang w:eastAsia="zh-CN"/>
        </w:rPr>
        <w:t>支出</w:t>
      </w:r>
      <w:r>
        <w:rPr>
          <w:rFonts w:hint="eastAsia" w:ascii="宋体" w:hAnsi="宋体" w:eastAsia="宋体" w:cs="Times New Roman"/>
          <w:sz w:val="30"/>
          <w:szCs w:val="30"/>
        </w:rPr>
        <w:t>绩效</w:t>
      </w:r>
      <w:r>
        <w:rPr>
          <w:rFonts w:hint="eastAsia" w:ascii="宋体" w:hAnsi="宋体" w:eastAsia="宋体" w:cs="Times New Roman"/>
          <w:sz w:val="30"/>
          <w:szCs w:val="30"/>
          <w:lang w:eastAsia="zh-CN"/>
        </w:rPr>
        <w:t>自评</w:t>
      </w:r>
      <w:r>
        <w:rPr>
          <w:rFonts w:hint="eastAsia" w:ascii="宋体" w:hAnsi="宋体" w:eastAsia="宋体" w:cs="Times New Roman"/>
          <w:sz w:val="30"/>
          <w:szCs w:val="30"/>
        </w:rPr>
        <w:t>表”，进行打分自评，得出项目的自评分，并形成书面绩效</w:t>
      </w:r>
      <w:r>
        <w:rPr>
          <w:rFonts w:hint="eastAsia" w:ascii="宋体" w:hAnsi="宋体" w:eastAsia="宋体" w:cs="Times New Roman"/>
          <w:sz w:val="30"/>
          <w:szCs w:val="30"/>
          <w:lang w:eastAsia="zh-CN"/>
        </w:rPr>
        <w:t>评价</w:t>
      </w:r>
      <w:r>
        <w:rPr>
          <w:rFonts w:hint="eastAsia" w:ascii="宋体" w:hAnsi="宋体" w:eastAsia="宋体" w:cs="Times New Roman"/>
          <w:sz w:val="30"/>
          <w:szCs w:val="30"/>
        </w:rPr>
        <w:t>报告，将“</w:t>
      </w:r>
      <w:r>
        <w:rPr>
          <w:rFonts w:hint="eastAsia" w:ascii="宋体" w:hAnsi="宋体" w:eastAsia="宋体" w:cs="Times New Roman"/>
          <w:sz w:val="30"/>
          <w:szCs w:val="30"/>
          <w:lang w:eastAsia="zh-CN"/>
        </w:rPr>
        <w:t>项目支出</w:t>
      </w:r>
      <w:r>
        <w:rPr>
          <w:rFonts w:hint="eastAsia" w:ascii="宋体" w:hAnsi="宋体" w:eastAsia="宋体" w:cs="Times New Roman"/>
          <w:sz w:val="30"/>
          <w:szCs w:val="30"/>
        </w:rPr>
        <w:t>绩效</w:t>
      </w:r>
      <w:r>
        <w:rPr>
          <w:rFonts w:hint="eastAsia" w:ascii="宋体" w:hAnsi="宋体" w:eastAsia="宋体" w:cs="Times New Roman"/>
          <w:sz w:val="30"/>
          <w:szCs w:val="30"/>
          <w:lang w:eastAsia="zh-CN"/>
        </w:rPr>
        <w:t>评价</w:t>
      </w:r>
      <w:r>
        <w:rPr>
          <w:rFonts w:hint="eastAsia" w:ascii="宋体" w:hAnsi="宋体" w:eastAsia="宋体" w:cs="Times New Roman"/>
          <w:sz w:val="30"/>
          <w:szCs w:val="30"/>
        </w:rPr>
        <w:t>报告”、“项目</w:t>
      </w:r>
      <w:r>
        <w:rPr>
          <w:rFonts w:hint="eastAsia" w:ascii="宋体" w:hAnsi="宋体" w:eastAsia="宋体" w:cs="Times New Roman"/>
          <w:sz w:val="30"/>
          <w:szCs w:val="30"/>
          <w:lang w:eastAsia="zh-CN"/>
        </w:rPr>
        <w:t>支出</w:t>
      </w:r>
      <w:r>
        <w:rPr>
          <w:rFonts w:hint="eastAsia" w:ascii="宋体" w:hAnsi="宋体" w:eastAsia="宋体" w:cs="Times New Roman"/>
          <w:sz w:val="30"/>
          <w:szCs w:val="30"/>
        </w:rPr>
        <w:t>绩效</w:t>
      </w:r>
      <w:r>
        <w:rPr>
          <w:rFonts w:hint="eastAsia" w:ascii="宋体" w:hAnsi="宋体" w:eastAsia="宋体" w:cs="Times New Roman"/>
          <w:sz w:val="30"/>
          <w:szCs w:val="30"/>
          <w:lang w:eastAsia="zh-CN"/>
        </w:rPr>
        <w:t>自评</w:t>
      </w:r>
      <w:r>
        <w:rPr>
          <w:rFonts w:hint="eastAsia" w:ascii="宋体" w:hAnsi="宋体" w:eastAsia="宋体" w:cs="Times New Roman"/>
          <w:sz w:val="30"/>
          <w:szCs w:val="30"/>
        </w:rPr>
        <w:t>表”等纸质版、电子版材料上报至</w:t>
      </w:r>
      <w:r>
        <w:rPr>
          <w:rFonts w:hint="eastAsia" w:ascii="宋体" w:hAnsi="宋体" w:eastAsia="宋体" w:cs="Times New Roman"/>
          <w:sz w:val="30"/>
          <w:szCs w:val="30"/>
          <w:lang w:eastAsia="zh-CN"/>
        </w:rPr>
        <w:t>主管局</w:t>
      </w:r>
      <w:r>
        <w:rPr>
          <w:rFonts w:hint="eastAsia" w:ascii="宋体" w:hAnsi="宋体" w:eastAsia="宋体" w:cs="Times New Roman"/>
          <w:sz w:val="30"/>
          <w:szCs w:val="30"/>
        </w:rPr>
        <w:t>绩效评价工作领导小组办公室。</w:t>
      </w:r>
    </w:p>
    <w:p>
      <w:pPr>
        <w:numPr>
          <w:ilvl w:val="0"/>
          <w:numId w:val="6"/>
        </w:numPr>
        <w:autoSpaceDE w:val="0"/>
        <w:autoSpaceDN w:val="0"/>
        <w:adjustRightInd w:val="0"/>
        <w:spacing w:line="360" w:lineRule="auto"/>
        <w:ind w:firstLine="602" w:firstLineChars="200"/>
        <w:rPr>
          <w:rFonts w:hint="eastAsia" w:ascii="宋体" w:hAnsi="宋体" w:eastAsia="宋体" w:cs="等线"/>
          <w:b/>
          <w:bCs/>
          <w:sz w:val="30"/>
          <w:szCs w:val="30"/>
          <w:lang w:val="zh-CN"/>
        </w:rPr>
      </w:pPr>
      <w:r>
        <w:rPr>
          <w:rFonts w:hint="eastAsia" w:ascii="宋体" w:hAnsi="宋体" w:eastAsia="宋体" w:cs="等线"/>
          <w:b/>
          <w:bCs/>
          <w:sz w:val="30"/>
          <w:szCs w:val="30"/>
          <w:lang w:val="zh-CN"/>
        </w:rPr>
        <w:t>综合评价</w:t>
      </w:r>
      <w:r>
        <w:rPr>
          <w:rFonts w:hint="eastAsia" w:ascii="宋体" w:hAnsi="宋体" w:cs="等线"/>
          <w:b/>
          <w:bCs/>
          <w:sz w:val="30"/>
          <w:szCs w:val="30"/>
          <w:lang w:val="en-US" w:eastAsia="zh-CN"/>
        </w:rPr>
        <w:t>情况及评价</w:t>
      </w:r>
      <w:r>
        <w:rPr>
          <w:rFonts w:hint="eastAsia" w:ascii="宋体" w:hAnsi="宋体" w:eastAsia="宋体" w:cs="等线"/>
          <w:b/>
          <w:bCs/>
          <w:sz w:val="30"/>
          <w:szCs w:val="30"/>
          <w:lang w:val="zh-CN"/>
        </w:rPr>
        <w:t>结论</w:t>
      </w:r>
    </w:p>
    <w:p>
      <w:pPr>
        <w:autoSpaceDE w:val="0"/>
        <w:autoSpaceDN w:val="0"/>
        <w:adjustRightInd w:val="0"/>
        <w:spacing w:line="360" w:lineRule="auto"/>
        <w:ind w:firstLine="600" w:firstLineChars="200"/>
        <w:rPr>
          <w:rFonts w:hint="eastAsia" w:ascii="宋体" w:hAnsi="宋体" w:eastAsia="宋体" w:cs="等线"/>
          <w:sz w:val="30"/>
          <w:szCs w:val="30"/>
          <w:lang w:val="en-US" w:eastAsia="zh-CN"/>
        </w:rPr>
      </w:pPr>
      <w:r>
        <w:rPr>
          <w:rFonts w:hint="eastAsia" w:ascii="宋体" w:hAnsi="宋体" w:eastAsia="宋体" w:cs="等线"/>
          <w:sz w:val="30"/>
          <w:szCs w:val="30"/>
          <w:lang w:val="zh-CN"/>
        </w:rPr>
        <w:t>在被评价项目相关资料真实、可靠地基础上，评价小组认为，</w:t>
      </w:r>
      <w:r>
        <w:rPr>
          <w:rFonts w:hint="eastAsia" w:ascii="宋体" w:hAnsi="宋体" w:eastAsia="宋体" w:cs="等线"/>
          <w:sz w:val="30"/>
          <w:szCs w:val="30"/>
          <w:lang w:val="en-US" w:eastAsia="zh-CN"/>
        </w:rPr>
        <w:t>20</w:t>
      </w:r>
      <w:r>
        <w:rPr>
          <w:rFonts w:hint="eastAsia" w:ascii="宋体" w:hAnsi="宋体" w:cs="等线"/>
          <w:sz w:val="30"/>
          <w:szCs w:val="30"/>
          <w:lang w:val="en-US" w:eastAsia="zh-CN"/>
        </w:rPr>
        <w:t>20</w:t>
      </w:r>
      <w:r>
        <w:rPr>
          <w:rFonts w:hint="eastAsia" w:ascii="宋体" w:hAnsi="宋体" w:eastAsia="宋体" w:cs="等线"/>
          <w:sz w:val="30"/>
          <w:szCs w:val="30"/>
          <w:lang w:val="en-US" w:eastAsia="zh-CN"/>
        </w:rPr>
        <w:t>年度免费开放经费项目完成了绩效目标任务、达到了既定的目标，经对项目绩效指标评分得分</w:t>
      </w:r>
      <w:r>
        <w:rPr>
          <w:rFonts w:hint="eastAsia" w:ascii="宋体" w:hAnsi="宋体" w:eastAsia="宋体" w:cs="等线"/>
          <w:color w:val="auto"/>
          <w:sz w:val="30"/>
          <w:szCs w:val="30"/>
          <w:lang w:val="en-US" w:eastAsia="zh-CN"/>
        </w:rPr>
        <w:t>为</w:t>
      </w:r>
      <w:r>
        <w:rPr>
          <w:rFonts w:hint="eastAsia" w:ascii="宋体" w:hAnsi="宋体" w:cs="等线"/>
          <w:color w:val="auto"/>
          <w:sz w:val="30"/>
          <w:szCs w:val="30"/>
          <w:lang w:val="en-US" w:eastAsia="zh-CN"/>
        </w:rPr>
        <w:t>97</w:t>
      </w:r>
      <w:r>
        <w:rPr>
          <w:rFonts w:hint="eastAsia" w:ascii="宋体" w:hAnsi="宋体" w:eastAsia="宋体" w:cs="等线"/>
          <w:color w:val="auto"/>
          <w:sz w:val="30"/>
          <w:szCs w:val="30"/>
          <w:lang w:val="en-US" w:eastAsia="zh-CN"/>
        </w:rPr>
        <w:t>分，评价等级为优</w:t>
      </w:r>
      <w:r>
        <w:rPr>
          <w:rFonts w:hint="eastAsia" w:ascii="宋体" w:hAnsi="宋体" w:eastAsia="宋体" w:cs="等线"/>
          <w:sz w:val="30"/>
          <w:szCs w:val="30"/>
          <w:lang w:val="en-US" w:eastAsia="zh-CN"/>
        </w:rPr>
        <w:t>。我单位将进一步加强资金的使用效率，开展形式更为多样的展览、阅读等活动。使该项目的运行让更多市民群众受益，产生更深远的社会影响，本评价结果将对社会公众公开。评分详情见下表：</w:t>
      </w:r>
    </w:p>
    <w:p>
      <w:pPr>
        <w:rPr>
          <w:rFonts w:hint="eastAsia" w:ascii="黑体" w:hAnsi="宋体" w:eastAsia="黑体" w:cs="Arial"/>
          <w:bCs/>
          <w:color w:val="000000"/>
          <w:sz w:val="32"/>
          <w:szCs w:val="32"/>
        </w:rPr>
      </w:pPr>
    </w:p>
    <w:p>
      <w:pPr>
        <w:jc w:val="center"/>
        <w:rPr>
          <w:rFonts w:hint="eastAsia" w:ascii="宋体" w:hAnsi="宋体" w:eastAsia="宋体" w:cs="宋体"/>
          <w:bCs/>
          <w:color w:val="000000"/>
          <w:sz w:val="44"/>
          <w:szCs w:val="44"/>
        </w:rPr>
      </w:pPr>
      <w:r>
        <w:rPr>
          <w:rFonts w:hint="eastAsia" w:ascii="宋体" w:hAnsi="宋体" w:eastAsia="宋体" w:cs="宋体"/>
          <w:bCs/>
          <w:color w:val="000000"/>
          <w:spacing w:val="40"/>
          <w:sz w:val="44"/>
          <w:szCs w:val="44"/>
        </w:rPr>
        <w:t>项目支出绩效评分</w:t>
      </w:r>
      <w:r>
        <w:rPr>
          <w:rFonts w:hint="eastAsia" w:ascii="宋体" w:hAnsi="宋体" w:eastAsia="宋体" w:cs="宋体"/>
          <w:bCs/>
          <w:color w:val="000000"/>
          <w:sz w:val="44"/>
          <w:szCs w:val="44"/>
        </w:rPr>
        <w:t>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2066"/>
        <w:gridCol w:w="1712"/>
        <w:gridCol w:w="1261"/>
        <w:gridCol w:w="2144"/>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blHeader/>
          <w:jc w:val="center"/>
        </w:trPr>
        <w:tc>
          <w:tcPr>
            <w:tcW w:w="955" w:type="dxa"/>
            <w:shd w:val="clear" w:color="auto" w:fill="FFFFFF"/>
            <w:noWrap w:val="0"/>
            <w:vAlign w:val="center"/>
          </w:tcPr>
          <w:p>
            <w:pPr>
              <w:widowControl/>
              <w:jc w:val="center"/>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一级</w:t>
            </w:r>
          </w:p>
          <w:p>
            <w:pPr>
              <w:widowControl/>
              <w:jc w:val="center"/>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指标</w:t>
            </w:r>
          </w:p>
        </w:tc>
        <w:tc>
          <w:tcPr>
            <w:tcW w:w="2066" w:type="dxa"/>
            <w:shd w:val="clear" w:color="auto" w:fill="FFFFFF"/>
            <w:noWrap w:val="0"/>
            <w:vAlign w:val="center"/>
          </w:tcPr>
          <w:p>
            <w:pPr>
              <w:widowControl/>
              <w:jc w:val="center"/>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二级指标</w:t>
            </w:r>
          </w:p>
        </w:tc>
        <w:tc>
          <w:tcPr>
            <w:tcW w:w="1712" w:type="dxa"/>
            <w:shd w:val="clear" w:color="auto" w:fill="FFFFFF"/>
            <w:noWrap w:val="0"/>
            <w:vAlign w:val="center"/>
          </w:tcPr>
          <w:p>
            <w:pPr>
              <w:widowControl/>
              <w:jc w:val="center"/>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三级指标</w:t>
            </w:r>
          </w:p>
        </w:tc>
        <w:tc>
          <w:tcPr>
            <w:tcW w:w="1261" w:type="dxa"/>
            <w:shd w:val="clear" w:color="auto" w:fill="FFFFFF"/>
            <w:noWrap w:val="0"/>
            <w:vAlign w:val="center"/>
          </w:tcPr>
          <w:p>
            <w:pPr>
              <w:widowControl/>
              <w:jc w:val="center"/>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分值权重</w:t>
            </w:r>
          </w:p>
        </w:tc>
        <w:tc>
          <w:tcPr>
            <w:tcW w:w="2144" w:type="dxa"/>
            <w:shd w:val="clear" w:color="auto" w:fill="FFFFFF"/>
            <w:noWrap w:val="0"/>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21"/>
                <w:szCs w:val="21"/>
              </w:rPr>
              <w:t>评分标准</w:t>
            </w:r>
          </w:p>
        </w:tc>
        <w:tc>
          <w:tcPr>
            <w:tcW w:w="712" w:type="dxa"/>
            <w:shd w:val="clear" w:color="auto" w:fill="FFFFFF"/>
            <w:noWrap w:val="0"/>
            <w:vAlign w:val="center"/>
          </w:tcPr>
          <w:p>
            <w:pPr>
              <w:widowControl/>
              <w:jc w:val="center"/>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评价</w:t>
            </w:r>
          </w:p>
          <w:p>
            <w:pPr>
              <w:widowControl/>
              <w:jc w:val="center"/>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55"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决策</w:t>
            </w:r>
            <w:r>
              <w:rPr>
                <w:rFonts w:hint="eastAsia" w:ascii="宋体" w:hAnsi="宋体" w:eastAsia="宋体" w:cs="宋体"/>
                <w:color w:val="000000"/>
                <w:kern w:val="0"/>
                <w:sz w:val="21"/>
                <w:szCs w:val="21"/>
                <w:lang w:val="en-US" w:eastAsia="zh-CN"/>
              </w:rPr>
              <w:t>20分</w:t>
            </w:r>
            <w:r>
              <w:rPr>
                <w:rFonts w:hint="eastAsia" w:ascii="宋体" w:hAnsi="宋体" w:eastAsia="宋体" w:cs="宋体"/>
                <w:color w:val="000000"/>
                <w:kern w:val="0"/>
                <w:sz w:val="21"/>
                <w:szCs w:val="21"/>
              </w:rPr>
              <w:t>　</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p>
            <w:pPr>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2066"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项目立项</w:t>
            </w:r>
            <w:r>
              <w:rPr>
                <w:rFonts w:hint="eastAsia" w:ascii="宋体" w:hAnsi="宋体" w:eastAsia="宋体" w:cs="宋体"/>
                <w:color w:val="000000"/>
                <w:kern w:val="0"/>
                <w:sz w:val="21"/>
                <w:szCs w:val="21"/>
                <w:lang w:val="en-US" w:eastAsia="zh-CN"/>
              </w:rPr>
              <w:t>5分</w:t>
            </w: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立项依据</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充分性</w:t>
            </w:r>
          </w:p>
        </w:tc>
        <w:tc>
          <w:tcPr>
            <w:tcW w:w="1261"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2.5</w:t>
            </w:r>
          </w:p>
        </w:tc>
        <w:tc>
          <w:tcPr>
            <w:tcW w:w="2144"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①项目立项是否符合国家法律法规、国民经济发展规划和相关政策；</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0.5分）</w:t>
            </w:r>
          </w:p>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②项目立项是否符合行业发展规划和政策要求；</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0.5分）</w:t>
            </w:r>
          </w:p>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③项目立项是否与部门职责范围相符，属于部门履职所需；</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0.5分）</w:t>
            </w:r>
          </w:p>
          <w:p>
            <w:pPr>
              <w:widowControl/>
              <w:spacing w:line="24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④项目是否属于公共财政支持范围，是否符合中央、地方事权支出责任划分原则；</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1分）</w:t>
            </w:r>
          </w:p>
        </w:tc>
        <w:tc>
          <w:tcPr>
            <w:tcW w:w="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55" w:type="dxa"/>
            <w:vMerge w:val="continue"/>
            <w:shd w:val="clear" w:color="auto" w:fill="FFFFFF"/>
            <w:noWrap w:val="0"/>
            <w:vAlign w:val="center"/>
          </w:tcPr>
          <w:p>
            <w:pPr>
              <w:spacing w:line="240" w:lineRule="exact"/>
              <w:jc w:val="center"/>
              <w:rPr>
                <w:rFonts w:hint="eastAsia" w:ascii="宋体" w:hAnsi="宋体" w:eastAsia="宋体" w:cs="宋体"/>
                <w:color w:val="000000"/>
                <w:kern w:val="0"/>
                <w:sz w:val="21"/>
                <w:szCs w:val="21"/>
              </w:rPr>
            </w:pPr>
          </w:p>
        </w:tc>
        <w:tc>
          <w:tcPr>
            <w:tcW w:w="2066"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立项程序</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规范性</w:t>
            </w:r>
          </w:p>
        </w:tc>
        <w:tc>
          <w:tcPr>
            <w:tcW w:w="1261" w:type="dxa"/>
            <w:shd w:val="clear" w:color="auto" w:fill="FFFFFF"/>
            <w:noWrap w:val="0"/>
            <w:vAlign w:val="center"/>
          </w:tcPr>
          <w:p>
            <w:pPr>
              <w:widowControl/>
              <w:tabs>
                <w:tab w:val="left" w:pos="285"/>
              </w:tabs>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2.5</w:t>
            </w:r>
          </w:p>
        </w:tc>
        <w:tc>
          <w:tcPr>
            <w:tcW w:w="2144"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①项目是否按照规定的程序申请设立；</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0.9分）</w:t>
            </w:r>
          </w:p>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②审批文件、材料是否符合相关要求；</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0.8分）</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③事前是否已经过必要的可行性研究、专家论证、风险评估、绩效评估、集体决策。</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0.8分）</w:t>
            </w:r>
          </w:p>
        </w:tc>
        <w:tc>
          <w:tcPr>
            <w:tcW w:w="712" w:type="dxa"/>
            <w:shd w:val="clear" w:color="auto" w:fill="FFFFFF"/>
            <w:noWrap w:val="0"/>
            <w:vAlign w:val="center"/>
          </w:tcPr>
          <w:p>
            <w:pPr>
              <w:widowControl/>
              <w:tabs>
                <w:tab w:val="left" w:pos="285"/>
              </w:tabs>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6" w:hRule="atLeast"/>
          <w:jc w:val="center"/>
        </w:trPr>
        <w:tc>
          <w:tcPr>
            <w:tcW w:w="955" w:type="dxa"/>
            <w:vMerge w:val="continue"/>
            <w:shd w:val="clear" w:color="auto" w:fill="FFFFFF"/>
            <w:noWrap w:val="0"/>
            <w:vAlign w:val="center"/>
          </w:tcPr>
          <w:p>
            <w:pPr>
              <w:spacing w:line="240" w:lineRule="exact"/>
              <w:jc w:val="center"/>
              <w:rPr>
                <w:rFonts w:hint="eastAsia" w:ascii="宋体" w:hAnsi="宋体" w:eastAsia="宋体" w:cs="宋体"/>
                <w:color w:val="000000"/>
                <w:kern w:val="0"/>
                <w:sz w:val="21"/>
                <w:szCs w:val="21"/>
              </w:rPr>
            </w:pPr>
          </w:p>
        </w:tc>
        <w:tc>
          <w:tcPr>
            <w:tcW w:w="2066"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绩效目标</w:t>
            </w:r>
            <w:r>
              <w:rPr>
                <w:rFonts w:hint="eastAsia" w:ascii="宋体" w:hAnsi="宋体" w:eastAsia="宋体" w:cs="宋体"/>
                <w:color w:val="000000"/>
                <w:kern w:val="0"/>
                <w:sz w:val="21"/>
                <w:szCs w:val="21"/>
                <w:lang w:val="en-US" w:eastAsia="zh-CN"/>
              </w:rPr>
              <w:t>5分</w:t>
            </w: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绩效目标</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合理性</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p>
        </w:tc>
        <w:tc>
          <w:tcPr>
            <w:tcW w:w="2144" w:type="dxa"/>
            <w:shd w:val="clear" w:color="000000" w:fill="FFFFFF"/>
            <w:noWrap w:val="0"/>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①项目是否有绩效目标；</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1.5分）</w:t>
            </w:r>
          </w:p>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②项目绩效目标与实际工作内容是否具有相关性；</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1.5分）</w:t>
            </w: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③项目预期产出效益和效果是否符合正常的业绩水平；</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1分）</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④是否与预算确定的项目投资额或资金量相匹配。</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1分）</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5" w:hRule="atLeast"/>
          <w:jc w:val="center"/>
        </w:trPr>
        <w:tc>
          <w:tcPr>
            <w:tcW w:w="955"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c>
          <w:tcPr>
            <w:tcW w:w="2066"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绩效目标</w:t>
            </w:r>
            <w:r>
              <w:rPr>
                <w:rFonts w:hint="eastAsia" w:ascii="宋体" w:hAnsi="宋体" w:eastAsia="宋体" w:cs="宋体"/>
                <w:color w:val="000000"/>
                <w:kern w:val="0"/>
                <w:sz w:val="21"/>
                <w:szCs w:val="21"/>
                <w:lang w:val="en-US" w:eastAsia="zh-CN"/>
              </w:rPr>
              <w:t>5分</w:t>
            </w: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绩效指标</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明确性</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p>
            <w:pPr>
              <w:widowControl/>
              <w:spacing w:line="240" w:lineRule="exact"/>
              <w:jc w:val="center"/>
              <w:rPr>
                <w:rFonts w:hint="eastAsia" w:ascii="宋体" w:hAnsi="宋体" w:eastAsia="宋体" w:cs="宋体"/>
                <w:color w:val="000000"/>
                <w:kern w:val="0"/>
                <w:sz w:val="21"/>
                <w:szCs w:val="21"/>
                <w:lang w:val="en-US" w:eastAsia="zh-CN"/>
              </w:rPr>
            </w:pPr>
          </w:p>
        </w:tc>
        <w:tc>
          <w:tcPr>
            <w:tcW w:w="2144"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①是否将项目绩效目标细化分解为具体的绩效指标；</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2分）</w:t>
            </w:r>
          </w:p>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②是否通过清晰、可衡量的指标值予以体现；</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2分）</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③是否与项目目标任务数或计划数相对应。</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1分）</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p>
            <w:pPr>
              <w:widowControl/>
              <w:spacing w:line="240" w:lineRule="exact"/>
              <w:jc w:val="center"/>
              <w:rPr>
                <w:rFonts w:hint="eastAsia" w:ascii="宋体" w:hAnsi="宋体" w:eastAsia="宋体" w:cs="宋体"/>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55" w:type="dxa"/>
            <w:vMerge w:val="continue"/>
            <w:shd w:val="clear" w:color="auto" w:fill="FFFFFF"/>
            <w:noWrap w:val="0"/>
            <w:vAlign w:val="center"/>
          </w:tcPr>
          <w:p>
            <w:pPr>
              <w:spacing w:line="240" w:lineRule="exact"/>
              <w:jc w:val="center"/>
              <w:rPr>
                <w:rFonts w:hint="eastAsia" w:ascii="宋体" w:hAnsi="宋体" w:eastAsia="宋体" w:cs="宋体"/>
                <w:color w:val="000000"/>
                <w:kern w:val="0"/>
                <w:sz w:val="21"/>
                <w:szCs w:val="21"/>
              </w:rPr>
            </w:pPr>
          </w:p>
        </w:tc>
        <w:tc>
          <w:tcPr>
            <w:tcW w:w="2066"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资金投入</w:t>
            </w:r>
            <w:r>
              <w:rPr>
                <w:rFonts w:hint="eastAsia" w:ascii="宋体" w:hAnsi="宋体" w:eastAsia="宋体" w:cs="宋体"/>
                <w:color w:val="000000"/>
                <w:kern w:val="0"/>
                <w:sz w:val="21"/>
                <w:szCs w:val="21"/>
                <w:lang w:val="en-US" w:eastAsia="zh-CN"/>
              </w:rPr>
              <w:t>5分</w:t>
            </w:r>
          </w:p>
          <w:p>
            <w:pPr>
              <w:spacing w:line="240" w:lineRule="exact"/>
              <w:jc w:val="center"/>
              <w:rPr>
                <w:rFonts w:hint="eastAsia" w:ascii="宋体" w:hAnsi="宋体" w:eastAsia="宋体" w:cs="宋体"/>
                <w:color w:val="000000"/>
                <w:kern w:val="0"/>
                <w:sz w:val="21"/>
                <w:szCs w:val="21"/>
              </w:rPr>
            </w:pP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预算编制</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科学性</w:t>
            </w:r>
          </w:p>
        </w:tc>
        <w:tc>
          <w:tcPr>
            <w:tcW w:w="1261"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2.5</w:t>
            </w:r>
          </w:p>
        </w:tc>
        <w:tc>
          <w:tcPr>
            <w:tcW w:w="2144"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①预算编制是否经过科学论证；</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1分）</w:t>
            </w:r>
          </w:p>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②预算内容与项目内容是否匹配；</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0.5分）</w:t>
            </w:r>
          </w:p>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③预算额度测算依据是否充分，是否按照标准编制；</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0.5分）</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④预算确定的项目投资额或资金量是否与工作任务相匹配。</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0.5分）</w:t>
            </w:r>
          </w:p>
        </w:tc>
        <w:tc>
          <w:tcPr>
            <w:tcW w:w="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55"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c>
          <w:tcPr>
            <w:tcW w:w="2066"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资金分配</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合理性</w:t>
            </w:r>
          </w:p>
        </w:tc>
        <w:tc>
          <w:tcPr>
            <w:tcW w:w="1261"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2.5</w:t>
            </w:r>
          </w:p>
        </w:tc>
        <w:tc>
          <w:tcPr>
            <w:tcW w:w="2144"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①预算资金分配依据是否充分；</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1.25分）</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②资金分配额度是否合理，与项目单位或地方实际是否相适应。</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1.25分）</w:t>
            </w:r>
          </w:p>
        </w:tc>
        <w:tc>
          <w:tcPr>
            <w:tcW w:w="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jc w:val="center"/>
        </w:trPr>
        <w:tc>
          <w:tcPr>
            <w:tcW w:w="955" w:type="dxa"/>
            <w:vMerge w:val="restart"/>
            <w:shd w:val="clear" w:color="auto" w:fill="FFFFFF"/>
            <w:noWrap w:val="0"/>
            <w:vAlign w:val="center"/>
          </w:tcPr>
          <w:p>
            <w:pPr>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过程</w:t>
            </w:r>
            <w:r>
              <w:rPr>
                <w:rFonts w:hint="eastAsia" w:ascii="宋体" w:hAnsi="宋体" w:eastAsia="宋体" w:cs="宋体"/>
                <w:color w:val="000000"/>
                <w:kern w:val="0"/>
                <w:sz w:val="21"/>
                <w:szCs w:val="21"/>
                <w:lang w:val="en-US" w:eastAsia="zh-CN"/>
              </w:rPr>
              <w:t>15分</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2066"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资金管理</w:t>
            </w:r>
            <w:r>
              <w:rPr>
                <w:rFonts w:hint="eastAsia" w:ascii="宋体" w:hAnsi="宋体" w:eastAsia="宋体" w:cs="宋体"/>
                <w:color w:val="000000"/>
                <w:kern w:val="0"/>
                <w:sz w:val="21"/>
                <w:szCs w:val="21"/>
                <w:lang w:val="en-US" w:eastAsia="zh-CN"/>
              </w:rPr>
              <w:t>5分</w:t>
            </w: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资金到位率</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2.5</w:t>
            </w:r>
          </w:p>
        </w:tc>
        <w:tc>
          <w:tcPr>
            <w:tcW w:w="2144" w:type="dxa"/>
            <w:shd w:val="clear" w:color="000000" w:fill="FFFFFF"/>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资金到位率=（实际到位资金/预算资金）×100%。</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2.5分）</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955" w:type="dxa"/>
            <w:vMerge w:val="continue"/>
            <w:shd w:val="clear" w:color="auto" w:fill="FFFFFF"/>
            <w:noWrap w:val="0"/>
            <w:vAlign w:val="center"/>
          </w:tcPr>
          <w:p>
            <w:pPr>
              <w:spacing w:line="240" w:lineRule="exact"/>
              <w:jc w:val="center"/>
              <w:rPr>
                <w:rFonts w:hint="eastAsia" w:ascii="宋体" w:hAnsi="宋体" w:eastAsia="宋体" w:cs="宋体"/>
                <w:color w:val="000000"/>
                <w:kern w:val="0"/>
                <w:sz w:val="21"/>
                <w:szCs w:val="21"/>
              </w:rPr>
            </w:pPr>
          </w:p>
        </w:tc>
        <w:tc>
          <w:tcPr>
            <w:tcW w:w="2066" w:type="dxa"/>
            <w:vMerge w:val="continue"/>
            <w:shd w:val="clear" w:color="auto" w:fill="FFFFFF"/>
            <w:noWrap w:val="0"/>
            <w:vAlign w:val="center"/>
          </w:tcPr>
          <w:p>
            <w:pPr>
              <w:spacing w:line="240" w:lineRule="exact"/>
              <w:jc w:val="center"/>
              <w:rPr>
                <w:rFonts w:hint="eastAsia" w:ascii="宋体" w:hAnsi="宋体" w:eastAsia="宋体" w:cs="宋体"/>
                <w:color w:val="000000"/>
                <w:kern w:val="0"/>
                <w:sz w:val="21"/>
                <w:szCs w:val="21"/>
              </w:rPr>
            </w:pP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预算执行率</w:t>
            </w:r>
          </w:p>
        </w:tc>
        <w:tc>
          <w:tcPr>
            <w:tcW w:w="1261"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2.5</w:t>
            </w:r>
          </w:p>
        </w:tc>
        <w:tc>
          <w:tcPr>
            <w:tcW w:w="2144"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预算执行率=（实际支出资金/实际到位资金）×100%。</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2.5分）</w:t>
            </w:r>
          </w:p>
        </w:tc>
        <w:tc>
          <w:tcPr>
            <w:tcW w:w="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55" w:type="dxa"/>
            <w:vMerge w:val="continue"/>
            <w:shd w:val="clear" w:color="auto" w:fill="FFFFFF"/>
            <w:noWrap w:val="0"/>
            <w:vAlign w:val="center"/>
          </w:tcPr>
          <w:p>
            <w:pPr>
              <w:spacing w:line="240" w:lineRule="exact"/>
              <w:jc w:val="center"/>
              <w:rPr>
                <w:rFonts w:hint="eastAsia" w:ascii="宋体" w:hAnsi="宋体" w:eastAsia="宋体" w:cs="宋体"/>
                <w:color w:val="000000"/>
                <w:kern w:val="0"/>
                <w:sz w:val="21"/>
                <w:szCs w:val="21"/>
              </w:rPr>
            </w:pPr>
          </w:p>
        </w:tc>
        <w:tc>
          <w:tcPr>
            <w:tcW w:w="2066"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资金管理</w:t>
            </w:r>
            <w:r>
              <w:rPr>
                <w:rFonts w:hint="eastAsia" w:ascii="宋体" w:hAnsi="宋体" w:eastAsia="宋体" w:cs="宋体"/>
                <w:color w:val="000000"/>
                <w:kern w:val="0"/>
                <w:sz w:val="21"/>
                <w:szCs w:val="21"/>
                <w:lang w:val="en-US" w:eastAsia="zh-CN"/>
              </w:rPr>
              <w:t>5分</w:t>
            </w: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资金使用</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合规性</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p>
        </w:tc>
        <w:tc>
          <w:tcPr>
            <w:tcW w:w="2144"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①是否符合国家财经法规和财务管理制度以及有关专项资金管理办法的规定；</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1.5分）</w:t>
            </w:r>
          </w:p>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②资金的拨付是否有完整的审批程序和手续；</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1.5分）</w:t>
            </w:r>
          </w:p>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③是否符合项目预算批复或合同规定的用途；</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1分）</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④是否存在截留、挤占、挪用、虚列支出等情况。</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1分）</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5" w:hRule="atLeast"/>
          <w:jc w:val="center"/>
        </w:trPr>
        <w:tc>
          <w:tcPr>
            <w:tcW w:w="955" w:type="dxa"/>
            <w:vMerge w:val="continue"/>
            <w:shd w:val="clear" w:color="auto" w:fill="FFFFFF"/>
            <w:noWrap w:val="0"/>
            <w:vAlign w:val="center"/>
          </w:tcPr>
          <w:p>
            <w:pPr>
              <w:spacing w:line="240" w:lineRule="exact"/>
              <w:jc w:val="center"/>
              <w:rPr>
                <w:rFonts w:hint="eastAsia" w:ascii="宋体" w:hAnsi="宋体" w:eastAsia="宋体" w:cs="宋体"/>
                <w:color w:val="000000"/>
                <w:kern w:val="0"/>
                <w:sz w:val="21"/>
                <w:szCs w:val="21"/>
              </w:rPr>
            </w:pPr>
          </w:p>
        </w:tc>
        <w:tc>
          <w:tcPr>
            <w:tcW w:w="2066"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组织实施</w:t>
            </w:r>
            <w:r>
              <w:rPr>
                <w:rFonts w:hint="eastAsia" w:ascii="宋体" w:hAnsi="宋体" w:eastAsia="宋体" w:cs="宋体"/>
                <w:color w:val="000000"/>
                <w:kern w:val="0"/>
                <w:sz w:val="21"/>
                <w:szCs w:val="21"/>
                <w:lang w:val="en-US" w:eastAsia="zh-CN"/>
              </w:rPr>
              <w:t>5分</w:t>
            </w:r>
          </w:p>
          <w:p>
            <w:pPr>
              <w:spacing w:line="240" w:lineRule="exact"/>
              <w:jc w:val="center"/>
              <w:rPr>
                <w:rFonts w:hint="eastAsia" w:ascii="宋体" w:hAnsi="宋体" w:eastAsia="宋体" w:cs="宋体"/>
                <w:color w:val="000000"/>
                <w:kern w:val="0"/>
                <w:sz w:val="21"/>
                <w:szCs w:val="21"/>
              </w:rPr>
            </w:pP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管理制度</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健全性</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2.5</w:t>
            </w:r>
          </w:p>
        </w:tc>
        <w:tc>
          <w:tcPr>
            <w:tcW w:w="2144"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①是否已制定或具有相应的财务和业务管理制度；</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1.25分）</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②财务和业务管理制度是否合法、合规、完整。</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1.25分）</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55"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c>
          <w:tcPr>
            <w:tcW w:w="2066"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制度执行</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有效性</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2.5</w:t>
            </w:r>
          </w:p>
        </w:tc>
        <w:tc>
          <w:tcPr>
            <w:tcW w:w="2144"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①是否遵守相关法律法规和相关管理规定；</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1分）</w:t>
            </w:r>
          </w:p>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②项目调整及支出调整手续是否完备；</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0.5分）</w:t>
            </w:r>
          </w:p>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③项目合同书、验收报告、技术鉴定等资料是否齐全并及时归档；</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0.5分）</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④项目实施的人员条件、场地设备、信息支撑等是否落实到位。</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0.5分）</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55"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产出</w:t>
            </w:r>
            <w:r>
              <w:rPr>
                <w:rFonts w:hint="eastAsia" w:ascii="宋体" w:hAnsi="宋体" w:eastAsia="宋体" w:cs="宋体"/>
                <w:color w:val="000000"/>
                <w:kern w:val="0"/>
                <w:sz w:val="21"/>
                <w:szCs w:val="21"/>
                <w:lang w:val="en-US" w:eastAsia="zh-CN"/>
              </w:rPr>
              <w:t>50分</w:t>
            </w:r>
          </w:p>
        </w:tc>
        <w:tc>
          <w:tcPr>
            <w:tcW w:w="2066"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产出数量</w:t>
            </w:r>
            <w:r>
              <w:rPr>
                <w:rFonts w:hint="eastAsia" w:ascii="宋体" w:hAnsi="宋体" w:eastAsia="宋体" w:cs="宋体"/>
                <w:color w:val="000000"/>
                <w:kern w:val="0"/>
                <w:sz w:val="21"/>
                <w:szCs w:val="21"/>
                <w:lang w:val="en-US" w:eastAsia="zh-CN"/>
              </w:rPr>
              <w:t>15分</w:t>
            </w: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场馆免费开放300天以上</w:t>
            </w:r>
            <w:r>
              <w:rPr>
                <w:rFonts w:hint="eastAsia" w:ascii="宋体" w:hAnsi="宋体" w:eastAsia="宋体" w:cs="宋体"/>
                <w:i w:val="0"/>
                <w:iCs w:val="0"/>
                <w:color w:val="000000"/>
                <w:kern w:val="0"/>
                <w:sz w:val="21"/>
                <w:szCs w:val="21"/>
                <w:u w:val="none"/>
                <w:lang w:val="en-US" w:eastAsia="zh-CN" w:bidi="ar"/>
              </w:rPr>
              <w:t>完成率100%</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c>
          <w:tcPr>
            <w:tcW w:w="2144"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场馆免费开放≧300天得15分，低于300天，每少一天扣一分，扣完为止。</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955" w:type="dxa"/>
            <w:vMerge w:val="continue"/>
            <w:shd w:val="clear" w:color="auto" w:fill="FFFFFF"/>
            <w:noWrap w:val="0"/>
            <w:vAlign w:val="center"/>
          </w:tcPr>
          <w:p>
            <w:pPr>
              <w:widowControl/>
              <w:spacing w:line="240" w:lineRule="exact"/>
              <w:jc w:val="center"/>
              <w:rPr>
                <w:rFonts w:hint="eastAsia" w:ascii="宋体" w:hAnsi="宋体" w:eastAsia="宋体" w:cs="宋体"/>
                <w:sz w:val="21"/>
                <w:szCs w:val="21"/>
              </w:rPr>
            </w:pPr>
          </w:p>
        </w:tc>
        <w:tc>
          <w:tcPr>
            <w:tcW w:w="2066" w:type="dxa"/>
            <w:vMerge w:val="continue"/>
            <w:shd w:val="clear" w:color="auto" w:fill="FFFFFF"/>
            <w:noWrap w:val="0"/>
            <w:vAlign w:val="center"/>
          </w:tcPr>
          <w:p>
            <w:pPr>
              <w:widowControl/>
              <w:spacing w:line="240" w:lineRule="exact"/>
              <w:jc w:val="center"/>
              <w:rPr>
                <w:rFonts w:hint="eastAsia" w:ascii="宋体" w:hAnsi="宋体" w:eastAsia="宋体" w:cs="宋体"/>
                <w:sz w:val="21"/>
                <w:szCs w:val="21"/>
              </w:rPr>
            </w:pP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场馆设备维修维护6次完成率100%</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c>
          <w:tcPr>
            <w:tcW w:w="2144"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实际完成率=（实际产出数/计划产出数）×100%。</w:t>
            </w:r>
          </w:p>
          <w:p>
            <w:pPr>
              <w:widowControl/>
              <w:spacing w:line="240" w:lineRule="exact"/>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得分=实际完成率*分值权重</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955" w:type="dxa"/>
            <w:vMerge w:val="continue"/>
            <w:shd w:val="clear" w:color="auto" w:fill="FFFFFF"/>
            <w:noWrap w:val="0"/>
            <w:vAlign w:val="center"/>
          </w:tcPr>
          <w:p>
            <w:pPr>
              <w:widowControl/>
              <w:spacing w:line="240" w:lineRule="exact"/>
              <w:jc w:val="center"/>
              <w:rPr>
                <w:rFonts w:hint="eastAsia" w:ascii="宋体" w:hAnsi="宋体" w:eastAsia="宋体" w:cs="宋体"/>
                <w:sz w:val="21"/>
                <w:szCs w:val="21"/>
              </w:rPr>
            </w:pPr>
          </w:p>
        </w:tc>
        <w:tc>
          <w:tcPr>
            <w:tcW w:w="2066" w:type="dxa"/>
            <w:vMerge w:val="continue"/>
            <w:shd w:val="clear" w:color="auto" w:fill="FFFFFF"/>
            <w:noWrap w:val="0"/>
            <w:vAlign w:val="center"/>
          </w:tcPr>
          <w:p>
            <w:pPr>
              <w:widowControl/>
              <w:spacing w:line="240" w:lineRule="exact"/>
              <w:jc w:val="center"/>
              <w:rPr>
                <w:rFonts w:hint="eastAsia" w:ascii="宋体" w:hAnsi="宋体" w:eastAsia="宋体" w:cs="宋体"/>
                <w:sz w:val="21"/>
                <w:szCs w:val="21"/>
              </w:rPr>
            </w:pP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物业管理面积15000M²完成率100%</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c>
          <w:tcPr>
            <w:tcW w:w="2144"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实际完成率=（实际产出数/计划产出数）×100%。</w:t>
            </w:r>
          </w:p>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得分=实际完成率*分值权重</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55"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c>
          <w:tcPr>
            <w:tcW w:w="2066"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产出质量</w:t>
            </w:r>
            <w:r>
              <w:rPr>
                <w:rFonts w:hint="eastAsia" w:ascii="宋体" w:hAnsi="宋体" w:eastAsia="宋体" w:cs="宋体"/>
                <w:color w:val="000000"/>
                <w:kern w:val="0"/>
                <w:sz w:val="21"/>
                <w:szCs w:val="21"/>
                <w:lang w:val="en-US" w:eastAsia="zh-CN"/>
              </w:rPr>
              <w:t>15分</w:t>
            </w: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场馆免费开放安全运行率</w:t>
            </w:r>
            <w:r>
              <w:rPr>
                <w:rFonts w:hint="eastAsia" w:ascii="宋体" w:hAnsi="宋体" w:eastAsia="宋体" w:cs="宋体"/>
                <w:i w:val="0"/>
                <w:iCs w:val="0"/>
                <w:color w:val="000000"/>
                <w:kern w:val="0"/>
                <w:sz w:val="21"/>
                <w:szCs w:val="21"/>
                <w:u w:val="none"/>
                <w:lang w:val="en-US" w:eastAsia="zh-CN" w:bidi="ar"/>
              </w:rPr>
              <w:t>100%</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c>
          <w:tcPr>
            <w:tcW w:w="2144" w:type="dxa"/>
            <w:shd w:val="clear" w:color="000000" w:fill="FFFFFF"/>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质量达标率=（质量达标产出数/实际产出数）×100%。</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场馆免费开放安全运行率100%得15分，低于100%得零分。</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55" w:type="dxa"/>
            <w:vMerge w:val="continue"/>
            <w:shd w:val="clear" w:color="auto" w:fill="FFFFFF"/>
            <w:noWrap w:val="0"/>
            <w:vAlign w:val="center"/>
          </w:tcPr>
          <w:p>
            <w:pPr>
              <w:widowControl/>
              <w:spacing w:line="240" w:lineRule="exact"/>
              <w:jc w:val="center"/>
              <w:rPr>
                <w:rFonts w:hint="eastAsia" w:ascii="宋体" w:hAnsi="宋体" w:eastAsia="宋体" w:cs="宋体"/>
                <w:sz w:val="21"/>
                <w:szCs w:val="21"/>
              </w:rPr>
            </w:pPr>
          </w:p>
        </w:tc>
        <w:tc>
          <w:tcPr>
            <w:tcW w:w="2066" w:type="dxa"/>
            <w:vMerge w:val="continue"/>
            <w:shd w:val="clear" w:color="auto" w:fill="FFFFFF"/>
            <w:noWrap w:val="0"/>
            <w:vAlign w:val="center"/>
          </w:tcPr>
          <w:p>
            <w:pPr>
              <w:widowControl/>
              <w:spacing w:line="240" w:lineRule="exact"/>
              <w:jc w:val="center"/>
              <w:rPr>
                <w:rFonts w:hint="eastAsia" w:ascii="宋体" w:hAnsi="宋体" w:eastAsia="宋体" w:cs="宋体"/>
                <w:sz w:val="21"/>
                <w:szCs w:val="21"/>
              </w:rPr>
            </w:pP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场馆设备维修后正常运行达标率100%</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c>
          <w:tcPr>
            <w:tcW w:w="2144"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质量达标率=（质量达标产出数/实际产出数）×100%。</w:t>
            </w:r>
          </w:p>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得分=质量达标率*分值权重</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55" w:type="dxa"/>
            <w:vMerge w:val="continue"/>
            <w:shd w:val="clear" w:color="auto" w:fill="FFFFFF"/>
            <w:noWrap w:val="0"/>
            <w:vAlign w:val="center"/>
          </w:tcPr>
          <w:p>
            <w:pPr>
              <w:widowControl/>
              <w:spacing w:line="240" w:lineRule="exact"/>
              <w:jc w:val="center"/>
              <w:rPr>
                <w:rFonts w:hint="eastAsia" w:ascii="宋体" w:hAnsi="宋体" w:eastAsia="宋体" w:cs="宋体"/>
                <w:sz w:val="21"/>
                <w:szCs w:val="21"/>
              </w:rPr>
            </w:pPr>
          </w:p>
        </w:tc>
        <w:tc>
          <w:tcPr>
            <w:tcW w:w="2066" w:type="dxa"/>
            <w:vMerge w:val="continue"/>
            <w:shd w:val="clear" w:color="auto" w:fill="FFFFFF"/>
            <w:noWrap w:val="0"/>
            <w:vAlign w:val="center"/>
          </w:tcPr>
          <w:p>
            <w:pPr>
              <w:widowControl/>
              <w:spacing w:line="240" w:lineRule="exact"/>
              <w:jc w:val="center"/>
              <w:rPr>
                <w:rFonts w:hint="eastAsia" w:ascii="宋体" w:hAnsi="宋体" w:eastAsia="宋体" w:cs="宋体"/>
                <w:sz w:val="21"/>
                <w:szCs w:val="21"/>
              </w:rPr>
            </w:pP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rPr>
            </w:pPr>
            <w:r>
              <w:rPr>
                <w:rFonts w:hint="eastAsia" w:ascii="宋体" w:hAnsi="宋体" w:eastAsia="宋体" w:cs="宋体"/>
                <w:color w:val="000000"/>
                <w:kern w:val="0"/>
                <w:sz w:val="21"/>
                <w:szCs w:val="21"/>
                <w:lang w:val="en-US" w:eastAsia="zh-CN"/>
              </w:rPr>
              <w:t>物业公司招投标政府采购达标率100%</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c>
          <w:tcPr>
            <w:tcW w:w="2144"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质量达标率=（质量达标产出数/实际产出数）×100%。</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得分=质量达标率*分值权重</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55" w:type="dxa"/>
            <w:vMerge w:val="continue"/>
            <w:shd w:val="clear" w:color="auto" w:fill="FFFFFF"/>
            <w:noWrap w:val="0"/>
            <w:vAlign w:val="center"/>
          </w:tcPr>
          <w:p>
            <w:pPr>
              <w:spacing w:line="240" w:lineRule="exact"/>
              <w:jc w:val="center"/>
              <w:rPr>
                <w:rFonts w:hint="eastAsia" w:ascii="宋体" w:hAnsi="宋体" w:eastAsia="宋体" w:cs="宋体"/>
                <w:color w:val="000000"/>
                <w:kern w:val="0"/>
                <w:sz w:val="21"/>
                <w:szCs w:val="21"/>
              </w:rPr>
            </w:pPr>
          </w:p>
        </w:tc>
        <w:tc>
          <w:tcPr>
            <w:tcW w:w="2066" w:type="dxa"/>
            <w:vMerge w:val="restart"/>
            <w:shd w:val="clear" w:color="auto" w:fill="FFFFFF"/>
            <w:noWrap w:val="0"/>
            <w:vAlign w:val="center"/>
          </w:tcPr>
          <w:p>
            <w:pPr>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产出时效</w:t>
            </w:r>
            <w:r>
              <w:rPr>
                <w:rFonts w:hint="eastAsia" w:ascii="宋体" w:hAnsi="宋体" w:eastAsia="宋体" w:cs="宋体"/>
                <w:color w:val="000000"/>
                <w:kern w:val="0"/>
                <w:sz w:val="21"/>
                <w:szCs w:val="21"/>
                <w:lang w:val="en-US" w:eastAsia="zh-CN"/>
              </w:rPr>
              <w:t>10分</w:t>
            </w: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rPr>
            </w:pPr>
            <w:r>
              <w:rPr>
                <w:rFonts w:hint="eastAsia" w:ascii="宋体" w:hAnsi="宋体" w:eastAsia="宋体" w:cs="宋体"/>
                <w:color w:val="000000"/>
                <w:kern w:val="0"/>
                <w:sz w:val="21"/>
                <w:szCs w:val="21"/>
                <w:lang w:val="en-US" w:eastAsia="zh-CN"/>
              </w:rPr>
              <w:t>场馆免费开放项目及时完成率100%</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c>
          <w:tcPr>
            <w:tcW w:w="2144" w:type="dxa"/>
            <w:shd w:val="clear" w:color="000000" w:fill="FFFFFF"/>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时效及时率</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时效</w:t>
            </w:r>
            <w:r>
              <w:rPr>
                <w:rFonts w:hint="eastAsia" w:ascii="宋体" w:hAnsi="宋体" w:eastAsia="宋体" w:cs="宋体"/>
                <w:color w:val="000000"/>
                <w:kern w:val="0"/>
                <w:sz w:val="21"/>
                <w:szCs w:val="21"/>
              </w:rPr>
              <w:t>产出数/实际产出数）×100%。</w:t>
            </w:r>
          </w:p>
          <w:p>
            <w:pPr>
              <w:widowControl/>
              <w:spacing w:line="24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2020年12月31日前完成得10分，否则得零分。</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955" w:type="dxa"/>
            <w:vMerge w:val="continue"/>
            <w:shd w:val="clear" w:color="auto" w:fill="FFFFFF"/>
            <w:noWrap w:val="0"/>
            <w:vAlign w:val="center"/>
          </w:tcPr>
          <w:p>
            <w:pPr>
              <w:spacing w:line="240" w:lineRule="exact"/>
              <w:jc w:val="center"/>
              <w:rPr>
                <w:rFonts w:hint="eastAsia" w:ascii="宋体" w:hAnsi="宋体" w:eastAsia="宋体" w:cs="宋体"/>
                <w:color w:val="000000"/>
                <w:kern w:val="0"/>
                <w:sz w:val="21"/>
                <w:szCs w:val="21"/>
              </w:rPr>
            </w:pPr>
          </w:p>
        </w:tc>
        <w:tc>
          <w:tcPr>
            <w:tcW w:w="2066" w:type="dxa"/>
            <w:vMerge w:val="continue"/>
            <w:shd w:val="clear" w:color="auto" w:fill="FFFFFF"/>
            <w:noWrap w:val="0"/>
            <w:vAlign w:val="center"/>
          </w:tcPr>
          <w:p>
            <w:pPr>
              <w:spacing w:line="240" w:lineRule="exact"/>
              <w:jc w:val="center"/>
              <w:rPr>
                <w:rFonts w:hint="eastAsia" w:ascii="宋体" w:hAnsi="宋体" w:eastAsia="宋体" w:cs="宋体"/>
                <w:color w:val="000000"/>
                <w:kern w:val="0"/>
                <w:sz w:val="21"/>
                <w:szCs w:val="21"/>
              </w:rPr>
            </w:pP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场馆设备维修维护及时率100%</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c>
          <w:tcPr>
            <w:tcW w:w="2144"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时效及时率</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时效</w:t>
            </w:r>
            <w:r>
              <w:rPr>
                <w:rFonts w:hint="eastAsia" w:ascii="宋体" w:hAnsi="宋体" w:eastAsia="宋体" w:cs="宋体"/>
                <w:color w:val="000000"/>
                <w:kern w:val="0"/>
                <w:sz w:val="21"/>
                <w:szCs w:val="21"/>
              </w:rPr>
              <w:t>产出数/实际产出数）×100%。</w:t>
            </w:r>
          </w:p>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得分=时效及时率*分值权重</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955" w:type="dxa"/>
            <w:vMerge w:val="continue"/>
            <w:shd w:val="clear" w:color="auto" w:fill="FFFFFF"/>
            <w:noWrap w:val="0"/>
            <w:vAlign w:val="center"/>
          </w:tcPr>
          <w:p>
            <w:pPr>
              <w:spacing w:line="240" w:lineRule="exact"/>
              <w:jc w:val="center"/>
              <w:rPr>
                <w:rFonts w:hint="eastAsia" w:ascii="宋体" w:hAnsi="宋体" w:eastAsia="宋体" w:cs="宋体"/>
                <w:color w:val="000000"/>
                <w:kern w:val="0"/>
                <w:sz w:val="21"/>
                <w:szCs w:val="21"/>
              </w:rPr>
            </w:pPr>
          </w:p>
        </w:tc>
        <w:tc>
          <w:tcPr>
            <w:tcW w:w="2066" w:type="dxa"/>
            <w:vMerge w:val="continue"/>
            <w:shd w:val="clear" w:color="auto" w:fill="FFFFFF"/>
            <w:noWrap w:val="0"/>
            <w:vAlign w:val="center"/>
          </w:tcPr>
          <w:p>
            <w:pPr>
              <w:spacing w:line="240" w:lineRule="exact"/>
              <w:jc w:val="center"/>
              <w:rPr>
                <w:rFonts w:hint="eastAsia" w:ascii="宋体" w:hAnsi="宋体" w:eastAsia="宋体" w:cs="宋体"/>
                <w:color w:val="000000"/>
                <w:kern w:val="0"/>
                <w:sz w:val="21"/>
                <w:szCs w:val="21"/>
              </w:rPr>
            </w:pP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物业处理各类问题及时率100%</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c>
          <w:tcPr>
            <w:tcW w:w="2144"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时效及时率</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时效</w:t>
            </w:r>
            <w:r>
              <w:rPr>
                <w:rFonts w:hint="eastAsia" w:ascii="宋体" w:hAnsi="宋体" w:eastAsia="宋体" w:cs="宋体"/>
                <w:color w:val="000000"/>
                <w:kern w:val="0"/>
                <w:sz w:val="21"/>
                <w:szCs w:val="21"/>
              </w:rPr>
              <w:t>产出数/实际产出数）×100%。</w:t>
            </w:r>
          </w:p>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得分=时效及时率*分值权重</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jc w:val="center"/>
        </w:trPr>
        <w:tc>
          <w:tcPr>
            <w:tcW w:w="955"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c>
          <w:tcPr>
            <w:tcW w:w="2066"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产出成本</w:t>
            </w:r>
            <w:r>
              <w:rPr>
                <w:rFonts w:hint="eastAsia" w:ascii="宋体" w:hAnsi="宋体" w:eastAsia="宋体" w:cs="宋体"/>
                <w:color w:val="000000"/>
                <w:kern w:val="0"/>
                <w:sz w:val="21"/>
                <w:szCs w:val="21"/>
                <w:lang w:val="en-US" w:eastAsia="zh-CN"/>
              </w:rPr>
              <w:t>10分</w:t>
            </w: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场馆免费开放水电成本控制率100%</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c>
          <w:tcPr>
            <w:tcW w:w="2144"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成本控制率</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成本计划</w:t>
            </w:r>
            <w:r>
              <w:rPr>
                <w:rFonts w:hint="eastAsia" w:ascii="宋体" w:hAnsi="宋体" w:eastAsia="宋体" w:cs="宋体"/>
                <w:color w:val="000000"/>
                <w:kern w:val="0"/>
                <w:sz w:val="21"/>
                <w:szCs w:val="21"/>
              </w:rPr>
              <w:t>数/实际</w:t>
            </w:r>
            <w:r>
              <w:rPr>
                <w:rFonts w:hint="eastAsia" w:ascii="宋体" w:hAnsi="宋体" w:eastAsia="宋体" w:cs="宋体"/>
                <w:color w:val="000000"/>
                <w:kern w:val="0"/>
                <w:sz w:val="21"/>
                <w:szCs w:val="21"/>
                <w:lang w:val="en-US" w:eastAsia="zh-CN"/>
              </w:rPr>
              <w:t>支出</w:t>
            </w:r>
            <w:r>
              <w:rPr>
                <w:rFonts w:hint="eastAsia" w:ascii="宋体" w:hAnsi="宋体" w:eastAsia="宋体" w:cs="宋体"/>
                <w:color w:val="000000"/>
                <w:kern w:val="0"/>
                <w:sz w:val="21"/>
                <w:szCs w:val="21"/>
              </w:rPr>
              <w:t>数）×100%。</w:t>
            </w:r>
          </w:p>
          <w:p>
            <w:pPr>
              <w:widowControl/>
              <w:spacing w:line="24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成本控制率≤100%得满分，超出5%得0分</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55"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c>
          <w:tcPr>
            <w:tcW w:w="2066"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场馆设备维修维护成本控制率100%</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c>
          <w:tcPr>
            <w:tcW w:w="2144"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成本控制率</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成本计划</w:t>
            </w:r>
            <w:r>
              <w:rPr>
                <w:rFonts w:hint="eastAsia" w:ascii="宋体" w:hAnsi="宋体" w:eastAsia="宋体" w:cs="宋体"/>
                <w:color w:val="000000"/>
                <w:kern w:val="0"/>
                <w:sz w:val="21"/>
                <w:szCs w:val="21"/>
              </w:rPr>
              <w:t>数/实际</w:t>
            </w:r>
            <w:r>
              <w:rPr>
                <w:rFonts w:hint="eastAsia" w:ascii="宋体" w:hAnsi="宋体" w:eastAsia="宋体" w:cs="宋体"/>
                <w:color w:val="000000"/>
                <w:kern w:val="0"/>
                <w:sz w:val="21"/>
                <w:szCs w:val="21"/>
                <w:lang w:val="en-US" w:eastAsia="zh-CN"/>
              </w:rPr>
              <w:t>支出</w:t>
            </w:r>
            <w:r>
              <w:rPr>
                <w:rFonts w:hint="eastAsia" w:ascii="宋体" w:hAnsi="宋体" w:eastAsia="宋体" w:cs="宋体"/>
                <w:color w:val="000000"/>
                <w:kern w:val="0"/>
                <w:sz w:val="21"/>
                <w:szCs w:val="21"/>
              </w:rPr>
              <w:t>数）×100%。</w:t>
            </w:r>
          </w:p>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成本控制率≤100%得满分，超出5%得0分</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55"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c>
          <w:tcPr>
            <w:tcW w:w="2066"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物业管理费成本控制率100%</w:t>
            </w:r>
          </w:p>
        </w:tc>
        <w:tc>
          <w:tcPr>
            <w:tcW w:w="1261"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c>
          <w:tcPr>
            <w:tcW w:w="2144"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成本控制率</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成本计划</w:t>
            </w:r>
            <w:r>
              <w:rPr>
                <w:rFonts w:hint="eastAsia" w:ascii="宋体" w:hAnsi="宋体" w:eastAsia="宋体" w:cs="宋体"/>
                <w:color w:val="000000"/>
                <w:kern w:val="0"/>
                <w:sz w:val="21"/>
                <w:szCs w:val="21"/>
              </w:rPr>
              <w:t>数/实际</w:t>
            </w:r>
            <w:r>
              <w:rPr>
                <w:rFonts w:hint="eastAsia" w:ascii="宋体" w:hAnsi="宋体" w:eastAsia="宋体" w:cs="宋体"/>
                <w:color w:val="000000"/>
                <w:kern w:val="0"/>
                <w:sz w:val="21"/>
                <w:szCs w:val="21"/>
                <w:lang w:val="en-US" w:eastAsia="zh-CN"/>
              </w:rPr>
              <w:t>支出</w:t>
            </w:r>
            <w:r>
              <w:rPr>
                <w:rFonts w:hint="eastAsia" w:ascii="宋体" w:hAnsi="宋体" w:eastAsia="宋体" w:cs="宋体"/>
                <w:color w:val="000000"/>
                <w:kern w:val="0"/>
                <w:sz w:val="21"/>
                <w:szCs w:val="21"/>
              </w:rPr>
              <w:t>数）×100%。</w:t>
            </w:r>
          </w:p>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成本控制率≤100%得满分，超出5%得0分</w:t>
            </w:r>
          </w:p>
        </w:tc>
        <w:tc>
          <w:tcPr>
            <w:tcW w:w="712" w:type="dxa"/>
            <w:shd w:val="clear" w:color="000000"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55"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效益　</w:t>
            </w:r>
            <w:r>
              <w:rPr>
                <w:rFonts w:hint="eastAsia" w:ascii="宋体" w:hAnsi="宋体" w:eastAsia="宋体" w:cs="宋体"/>
                <w:color w:val="000000"/>
                <w:kern w:val="0"/>
                <w:sz w:val="21"/>
                <w:szCs w:val="21"/>
                <w:lang w:val="en-US" w:eastAsia="zh-CN"/>
              </w:rPr>
              <w:t>10分</w:t>
            </w:r>
          </w:p>
        </w:tc>
        <w:tc>
          <w:tcPr>
            <w:tcW w:w="2066"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经济效益</w:t>
            </w: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1261"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2144"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c>
          <w:tcPr>
            <w:tcW w:w="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55"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c>
          <w:tcPr>
            <w:tcW w:w="2066"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社会效益</w:t>
            </w:r>
            <w:r>
              <w:rPr>
                <w:rFonts w:hint="eastAsia" w:ascii="宋体" w:hAnsi="宋体" w:eastAsia="宋体" w:cs="宋体"/>
                <w:color w:val="000000"/>
                <w:kern w:val="0"/>
                <w:sz w:val="21"/>
                <w:szCs w:val="21"/>
                <w:lang w:val="en-US" w:eastAsia="zh-CN"/>
              </w:rPr>
              <w:t>5分</w:t>
            </w: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服务功能提升，全年共接待读者24.2万余人，借阅书籍16.2万余册次</w:t>
            </w:r>
          </w:p>
        </w:tc>
        <w:tc>
          <w:tcPr>
            <w:tcW w:w="1261"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c>
          <w:tcPr>
            <w:tcW w:w="2144"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项目实施所产生的社会效益</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达到或超过预期值得满分，未达到预期值按比例扣分。</w:t>
            </w:r>
          </w:p>
        </w:tc>
        <w:tc>
          <w:tcPr>
            <w:tcW w:w="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955" w:type="dxa"/>
            <w:vMerge w:val="continue"/>
            <w:shd w:val="clear" w:color="auto" w:fill="FFFFFF"/>
            <w:noWrap w:val="0"/>
            <w:vAlign w:val="center"/>
          </w:tcPr>
          <w:p>
            <w:pPr>
              <w:widowControl/>
              <w:spacing w:line="240" w:lineRule="exact"/>
              <w:jc w:val="center"/>
            </w:pPr>
          </w:p>
        </w:tc>
        <w:tc>
          <w:tcPr>
            <w:tcW w:w="2066" w:type="dxa"/>
            <w:vMerge w:val="continue"/>
            <w:shd w:val="clear" w:color="auto" w:fill="FFFFFF"/>
            <w:noWrap w:val="0"/>
            <w:vAlign w:val="center"/>
          </w:tcPr>
          <w:p>
            <w:pPr>
              <w:widowControl/>
              <w:spacing w:line="240" w:lineRule="exact"/>
              <w:jc w:val="center"/>
              <w:rPr>
                <w:rFonts w:hint="eastAsia" w:ascii="宋体" w:hAnsi="宋体" w:eastAsia="宋体" w:cs="宋体"/>
                <w:sz w:val="21"/>
                <w:szCs w:val="21"/>
              </w:rPr>
            </w:pP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sz w:val="21"/>
                <w:szCs w:val="21"/>
              </w:rPr>
              <w:t>获得国家级表彰3项，省市级表彰8项</w:t>
            </w:r>
          </w:p>
        </w:tc>
        <w:tc>
          <w:tcPr>
            <w:tcW w:w="1261"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c>
          <w:tcPr>
            <w:tcW w:w="2144"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rPr>
            </w:pPr>
            <w:r>
              <w:rPr>
                <w:rFonts w:hint="eastAsia" w:ascii="宋体" w:hAnsi="宋体" w:eastAsia="宋体" w:cs="宋体"/>
                <w:color w:val="000000"/>
                <w:kern w:val="0"/>
                <w:sz w:val="21"/>
                <w:szCs w:val="21"/>
              </w:rPr>
              <w:t>项目实施所产生的社会效益</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达到或超过预期值得满分，未达到预期值按比例扣分。</w:t>
            </w:r>
          </w:p>
        </w:tc>
        <w:tc>
          <w:tcPr>
            <w:tcW w:w="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55"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c>
          <w:tcPr>
            <w:tcW w:w="2066"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生态效益</w:t>
            </w: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无</w:t>
            </w:r>
          </w:p>
        </w:tc>
        <w:tc>
          <w:tcPr>
            <w:tcW w:w="1261"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无</w:t>
            </w:r>
          </w:p>
        </w:tc>
        <w:tc>
          <w:tcPr>
            <w:tcW w:w="2144"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无</w:t>
            </w:r>
          </w:p>
        </w:tc>
        <w:tc>
          <w:tcPr>
            <w:tcW w:w="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55"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c>
          <w:tcPr>
            <w:tcW w:w="2066"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可持续效益</w:t>
            </w:r>
            <w:r>
              <w:rPr>
                <w:rFonts w:hint="eastAsia" w:ascii="宋体" w:hAnsi="宋体" w:eastAsia="宋体" w:cs="宋体"/>
                <w:color w:val="000000"/>
                <w:kern w:val="0"/>
                <w:sz w:val="21"/>
                <w:szCs w:val="21"/>
                <w:lang w:val="en-US" w:eastAsia="zh-CN"/>
              </w:rPr>
              <w:t>5分</w:t>
            </w: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全民阅读影响力显著提升</w:t>
            </w:r>
          </w:p>
        </w:tc>
        <w:tc>
          <w:tcPr>
            <w:tcW w:w="1261"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c>
          <w:tcPr>
            <w:tcW w:w="2144"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达到或超过预期值得满分，未达到预期值按比例扣分。</w:t>
            </w:r>
          </w:p>
        </w:tc>
        <w:tc>
          <w:tcPr>
            <w:tcW w:w="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55"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p>
        </w:tc>
        <w:tc>
          <w:tcPr>
            <w:tcW w:w="2066"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物业管理制度及方式持续更新</w:t>
            </w:r>
          </w:p>
        </w:tc>
        <w:tc>
          <w:tcPr>
            <w:tcW w:w="1261"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c>
          <w:tcPr>
            <w:tcW w:w="2144"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达到或超过预期值得满分，未达到预期值按比例扣分。</w:t>
            </w:r>
          </w:p>
        </w:tc>
        <w:tc>
          <w:tcPr>
            <w:tcW w:w="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55"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满意度</w:t>
            </w:r>
            <w:r>
              <w:rPr>
                <w:rFonts w:hint="eastAsia" w:ascii="宋体" w:hAnsi="宋体" w:eastAsia="宋体" w:cs="宋体"/>
                <w:color w:val="000000"/>
                <w:kern w:val="0"/>
                <w:sz w:val="21"/>
                <w:szCs w:val="21"/>
                <w:lang w:val="en-US" w:eastAsia="zh-CN"/>
              </w:rPr>
              <w:t>5分</w:t>
            </w:r>
          </w:p>
        </w:tc>
        <w:tc>
          <w:tcPr>
            <w:tcW w:w="2066"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读者</w:t>
            </w:r>
            <w:r>
              <w:rPr>
                <w:rFonts w:hint="eastAsia" w:ascii="宋体" w:hAnsi="宋体" w:eastAsia="宋体" w:cs="宋体"/>
                <w:color w:val="000000"/>
                <w:kern w:val="0"/>
                <w:sz w:val="21"/>
                <w:szCs w:val="21"/>
              </w:rPr>
              <w:t>满意度</w:t>
            </w:r>
            <w:r>
              <w:rPr>
                <w:rFonts w:hint="eastAsia" w:ascii="宋体" w:hAnsi="宋体" w:eastAsia="宋体" w:cs="宋体"/>
                <w:color w:val="000000"/>
                <w:kern w:val="0"/>
                <w:sz w:val="21"/>
                <w:szCs w:val="21"/>
                <w:lang w:val="en-US" w:eastAsia="zh-CN"/>
              </w:rPr>
              <w:t>5分</w:t>
            </w: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职工满意度</w:t>
            </w:r>
          </w:p>
        </w:tc>
        <w:tc>
          <w:tcPr>
            <w:tcW w:w="1261"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c>
          <w:tcPr>
            <w:tcW w:w="2144"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职工满意度（95%-100%）得5分，（90%-95%）得4分，（85%-90%）得3分，以此类推。</w:t>
            </w:r>
          </w:p>
        </w:tc>
        <w:tc>
          <w:tcPr>
            <w:tcW w:w="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55"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p>
        </w:tc>
        <w:tc>
          <w:tcPr>
            <w:tcW w:w="2066"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p>
        </w:tc>
        <w:tc>
          <w:tcPr>
            <w:tcW w:w="1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读者</w:t>
            </w:r>
            <w:r>
              <w:rPr>
                <w:rFonts w:hint="eastAsia" w:ascii="宋体" w:hAnsi="宋体" w:eastAsia="宋体" w:cs="宋体"/>
                <w:color w:val="000000"/>
                <w:kern w:val="0"/>
                <w:sz w:val="21"/>
                <w:szCs w:val="21"/>
              </w:rPr>
              <w:t>满意度</w:t>
            </w:r>
          </w:p>
        </w:tc>
        <w:tc>
          <w:tcPr>
            <w:tcW w:w="1261"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c>
          <w:tcPr>
            <w:tcW w:w="2144"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读者满意度（95%-100%）得5分，（90%-95%）得4分，（85%-90%）得3分，以此类推。</w:t>
            </w:r>
          </w:p>
        </w:tc>
        <w:tc>
          <w:tcPr>
            <w:tcW w:w="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138" w:type="dxa"/>
            <w:gridSpan w:val="5"/>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bCs/>
                <w:color w:val="000000"/>
                <w:kern w:val="0"/>
                <w:sz w:val="21"/>
                <w:szCs w:val="21"/>
              </w:rPr>
              <w:t>总分</w:t>
            </w:r>
          </w:p>
        </w:tc>
        <w:tc>
          <w:tcPr>
            <w:tcW w:w="71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97</w:t>
            </w:r>
          </w:p>
        </w:tc>
      </w:tr>
    </w:tbl>
    <w:p/>
    <w:p>
      <w:pPr>
        <w:autoSpaceDE w:val="0"/>
        <w:autoSpaceDN w:val="0"/>
        <w:adjustRightInd w:val="0"/>
        <w:spacing w:line="360" w:lineRule="auto"/>
        <w:ind w:firstLine="602" w:firstLineChars="200"/>
        <w:rPr>
          <w:rFonts w:ascii="宋体" w:hAnsi="宋体" w:eastAsia="宋体" w:cs="等线"/>
          <w:b/>
          <w:bCs/>
          <w:sz w:val="30"/>
          <w:szCs w:val="30"/>
          <w:lang w:val="zh-CN"/>
        </w:rPr>
      </w:pPr>
      <w:r>
        <w:rPr>
          <w:rFonts w:hint="eastAsia" w:ascii="宋体" w:hAnsi="宋体" w:eastAsia="宋体" w:cs="等线"/>
          <w:b/>
          <w:bCs/>
          <w:sz w:val="30"/>
          <w:szCs w:val="30"/>
          <w:lang w:val="zh-CN"/>
        </w:rPr>
        <w:t>四、绩效</w:t>
      </w:r>
      <w:r>
        <w:rPr>
          <w:rFonts w:hint="eastAsia" w:ascii="宋体" w:hAnsi="宋体" w:cs="等线"/>
          <w:b/>
          <w:bCs/>
          <w:sz w:val="30"/>
          <w:szCs w:val="30"/>
          <w:lang w:val="en-US" w:eastAsia="zh-CN"/>
        </w:rPr>
        <w:t>评价指标</w:t>
      </w:r>
      <w:r>
        <w:rPr>
          <w:rFonts w:hint="eastAsia" w:ascii="宋体" w:hAnsi="宋体" w:eastAsia="宋体" w:cs="等线"/>
          <w:b/>
          <w:bCs/>
          <w:sz w:val="30"/>
          <w:szCs w:val="30"/>
          <w:lang w:val="zh-CN"/>
        </w:rPr>
        <w:t>分析</w:t>
      </w:r>
    </w:p>
    <w:p>
      <w:pPr>
        <w:autoSpaceDE w:val="0"/>
        <w:autoSpaceDN w:val="0"/>
        <w:adjustRightInd w:val="0"/>
        <w:spacing w:line="360" w:lineRule="auto"/>
        <w:ind w:firstLine="560"/>
        <w:rPr>
          <w:rFonts w:ascii="宋体" w:hAnsi="宋体" w:eastAsia="宋体" w:cs="等线"/>
          <w:b/>
          <w:bCs/>
          <w:sz w:val="30"/>
          <w:szCs w:val="30"/>
        </w:rPr>
      </w:pPr>
      <w:r>
        <w:rPr>
          <w:rFonts w:hint="eastAsia" w:ascii="宋体" w:hAnsi="宋体" w:eastAsia="宋体" w:cs="等线"/>
          <w:b/>
          <w:bCs/>
          <w:sz w:val="30"/>
          <w:szCs w:val="30"/>
        </w:rPr>
        <w:t>（一）项目</w:t>
      </w:r>
      <w:r>
        <w:rPr>
          <w:rFonts w:hint="eastAsia" w:ascii="宋体" w:hAnsi="宋体" w:eastAsia="宋体" w:cs="等线"/>
          <w:b/>
          <w:bCs/>
          <w:sz w:val="30"/>
          <w:szCs w:val="30"/>
          <w:lang w:eastAsia="zh-CN"/>
        </w:rPr>
        <w:t>决策情况</w:t>
      </w:r>
    </w:p>
    <w:p>
      <w:pPr>
        <w:numPr>
          <w:ilvl w:val="0"/>
          <w:numId w:val="0"/>
        </w:numPr>
        <w:autoSpaceDE w:val="0"/>
        <w:autoSpaceDN w:val="0"/>
        <w:adjustRightInd w:val="0"/>
        <w:spacing w:line="360" w:lineRule="auto"/>
        <w:ind w:leftChars="200"/>
        <w:rPr>
          <w:rFonts w:hint="eastAsia" w:ascii="宋体" w:hAnsi="宋体" w:cs="等线"/>
          <w:b/>
          <w:bCs/>
          <w:sz w:val="30"/>
          <w:szCs w:val="30"/>
          <w:lang w:val="en-US" w:eastAsia="zh-CN"/>
        </w:rPr>
      </w:pPr>
      <w:r>
        <w:rPr>
          <w:rFonts w:hint="eastAsia" w:ascii="宋体" w:hAnsi="宋体" w:cs="等线"/>
          <w:b/>
          <w:bCs/>
          <w:sz w:val="30"/>
          <w:szCs w:val="30"/>
          <w:lang w:val="en-US" w:eastAsia="zh-CN"/>
        </w:rPr>
        <w:t>1、项目立项</w:t>
      </w:r>
    </w:p>
    <w:p>
      <w:pPr>
        <w:numPr>
          <w:ilvl w:val="0"/>
          <w:numId w:val="0"/>
        </w:numPr>
        <w:autoSpaceDE w:val="0"/>
        <w:autoSpaceDN w:val="0"/>
        <w:adjustRightInd w:val="0"/>
        <w:spacing w:line="360" w:lineRule="auto"/>
        <w:ind w:leftChars="200" w:firstLine="600" w:firstLineChars="200"/>
        <w:rPr>
          <w:rFonts w:hint="eastAsia" w:ascii="宋体" w:hAnsi="宋体" w:cs="等线"/>
          <w:b/>
          <w:bCs/>
          <w:sz w:val="30"/>
          <w:szCs w:val="30"/>
          <w:lang w:val="en-US" w:eastAsia="zh-CN"/>
        </w:rPr>
      </w:pPr>
      <w:r>
        <w:rPr>
          <w:rFonts w:hint="eastAsia" w:ascii="宋体" w:hAnsi="宋体" w:cs="等线"/>
          <w:b w:val="0"/>
          <w:bCs w:val="0"/>
          <w:sz w:val="30"/>
          <w:szCs w:val="30"/>
          <w:lang w:val="en-US" w:eastAsia="zh-CN"/>
        </w:rPr>
        <w:t>立项依据充分性：2020年度免费开放经费项目属于经常性项目，该项目是依据市文广新旅局和南昌市财政局相关要求立项实施的，该项目立项依据充分，符合南昌市图书馆日常职责所需，本次项目资金由南昌市财政局下拨，依据南昌市人民政府办公厅抄告单要求，本次所需经费纳入部门预算，属于公共财政支持范围，且同时符合中央、地方事权支出责任划分原则，该指标得分2.5分</w:t>
      </w:r>
      <w:r>
        <w:rPr>
          <w:rFonts w:hint="eastAsia" w:ascii="宋体" w:hAnsi="宋体" w:cs="等线"/>
          <w:b/>
          <w:bCs/>
          <w:sz w:val="30"/>
          <w:szCs w:val="30"/>
          <w:lang w:val="en-US" w:eastAsia="zh-CN"/>
        </w:rPr>
        <w:t>。</w:t>
      </w:r>
    </w:p>
    <w:p>
      <w:pPr>
        <w:numPr>
          <w:ilvl w:val="0"/>
          <w:numId w:val="0"/>
        </w:numPr>
        <w:autoSpaceDE w:val="0"/>
        <w:autoSpaceDN w:val="0"/>
        <w:adjustRightInd w:val="0"/>
        <w:spacing w:line="360" w:lineRule="auto"/>
        <w:ind w:leftChars="200" w:firstLine="600" w:firstLineChars="200"/>
        <w:rPr>
          <w:rFonts w:hint="eastAsia" w:ascii="宋体" w:hAnsi="宋体" w:cs="等线"/>
          <w:b w:val="0"/>
          <w:bCs w:val="0"/>
          <w:sz w:val="30"/>
          <w:szCs w:val="30"/>
          <w:lang w:val="en-US" w:eastAsia="zh-CN"/>
        </w:rPr>
      </w:pPr>
      <w:r>
        <w:rPr>
          <w:rFonts w:hint="eastAsia" w:ascii="宋体" w:hAnsi="宋体" w:cs="等线"/>
          <w:b w:val="0"/>
          <w:bCs w:val="0"/>
          <w:sz w:val="30"/>
          <w:szCs w:val="30"/>
          <w:lang w:val="en-US" w:eastAsia="zh-CN"/>
        </w:rPr>
        <w:t>立项程序规范性：该项目依照了一般项目立项规定的程序申请设立，由市文广新旅局提交项目申报书及申报表，市财政局及同级人大审批，最终按照批复文件下达项目预算资金。项目立项程序规范完整，项目审批文件、材料符合财政相关立项要求，该指标得分2.5分。</w:t>
      </w:r>
    </w:p>
    <w:p>
      <w:pPr>
        <w:numPr>
          <w:ilvl w:val="0"/>
          <w:numId w:val="0"/>
        </w:numPr>
        <w:autoSpaceDE w:val="0"/>
        <w:autoSpaceDN w:val="0"/>
        <w:adjustRightInd w:val="0"/>
        <w:spacing w:line="360" w:lineRule="auto"/>
        <w:ind w:leftChars="200"/>
        <w:rPr>
          <w:rFonts w:hint="eastAsia" w:ascii="宋体" w:hAnsi="宋体" w:cs="等线"/>
          <w:b/>
          <w:bCs/>
          <w:sz w:val="30"/>
          <w:szCs w:val="30"/>
          <w:lang w:val="en-US" w:eastAsia="zh-CN"/>
        </w:rPr>
      </w:pPr>
      <w:r>
        <w:rPr>
          <w:rFonts w:hint="eastAsia" w:ascii="宋体" w:hAnsi="宋体" w:cs="等线"/>
          <w:b/>
          <w:bCs/>
          <w:sz w:val="30"/>
          <w:szCs w:val="30"/>
          <w:lang w:val="en-US" w:eastAsia="zh-CN"/>
        </w:rPr>
        <w:t>2、绩效目标</w:t>
      </w:r>
    </w:p>
    <w:p>
      <w:pPr>
        <w:numPr>
          <w:ilvl w:val="0"/>
          <w:numId w:val="0"/>
        </w:numPr>
        <w:autoSpaceDE w:val="0"/>
        <w:autoSpaceDN w:val="0"/>
        <w:adjustRightInd w:val="0"/>
        <w:spacing w:line="360" w:lineRule="auto"/>
        <w:ind w:leftChars="200" w:firstLine="600" w:firstLineChars="200"/>
        <w:rPr>
          <w:rFonts w:hint="eastAsia" w:ascii="宋体" w:hAnsi="宋体" w:cs="等线"/>
          <w:b/>
          <w:bCs/>
          <w:sz w:val="30"/>
          <w:szCs w:val="30"/>
          <w:lang w:val="en-US" w:eastAsia="zh-CN"/>
        </w:rPr>
      </w:pPr>
      <w:r>
        <w:rPr>
          <w:rFonts w:hint="eastAsia" w:ascii="宋体" w:hAnsi="宋体" w:cs="等线"/>
          <w:b w:val="0"/>
          <w:bCs w:val="0"/>
          <w:sz w:val="30"/>
          <w:szCs w:val="30"/>
          <w:lang w:val="en-US" w:eastAsia="zh-CN"/>
        </w:rPr>
        <w:t>绩效目标合理性：该项目在财政信息一体化系统里填报了2020年2020年度免费开放经费项目预算资金和绩效目标信息，绩效目标设置情况与实际工作内容基本相符，项目预期产出及效益与正常的业绩水平相适应，按相关政府文件及资金测算依据为标准设定的绩效目标与预算确定的项目资金量相匹配，该指标得分5分</w:t>
      </w:r>
      <w:r>
        <w:rPr>
          <w:rFonts w:hint="eastAsia" w:ascii="宋体" w:hAnsi="宋体" w:cs="等线"/>
          <w:b/>
          <w:bCs/>
          <w:sz w:val="30"/>
          <w:szCs w:val="30"/>
          <w:lang w:val="en-US" w:eastAsia="zh-CN"/>
        </w:rPr>
        <w:t>。</w:t>
      </w:r>
    </w:p>
    <w:p>
      <w:pPr>
        <w:numPr>
          <w:ilvl w:val="0"/>
          <w:numId w:val="0"/>
        </w:numPr>
        <w:autoSpaceDE w:val="0"/>
        <w:autoSpaceDN w:val="0"/>
        <w:adjustRightInd w:val="0"/>
        <w:spacing w:line="360" w:lineRule="auto"/>
        <w:ind w:leftChars="200"/>
        <w:rPr>
          <w:rFonts w:hint="eastAsia" w:ascii="宋体" w:hAnsi="宋体" w:cs="等线"/>
          <w:b/>
          <w:bCs/>
          <w:sz w:val="30"/>
          <w:szCs w:val="30"/>
          <w:lang w:val="en-US" w:eastAsia="zh-CN"/>
        </w:rPr>
      </w:pPr>
      <w:r>
        <w:rPr>
          <w:rFonts w:hint="eastAsia" w:ascii="宋体" w:hAnsi="宋体" w:cs="等线"/>
          <w:b/>
          <w:bCs/>
          <w:sz w:val="30"/>
          <w:szCs w:val="30"/>
          <w:lang w:val="en-US" w:eastAsia="zh-CN"/>
        </w:rPr>
        <w:t>3、绩效目标</w:t>
      </w:r>
    </w:p>
    <w:p>
      <w:pPr>
        <w:numPr>
          <w:ilvl w:val="0"/>
          <w:numId w:val="0"/>
        </w:numPr>
        <w:autoSpaceDE w:val="0"/>
        <w:autoSpaceDN w:val="0"/>
        <w:adjustRightInd w:val="0"/>
        <w:spacing w:line="360" w:lineRule="auto"/>
        <w:ind w:leftChars="200" w:firstLine="600" w:firstLineChars="200"/>
        <w:rPr>
          <w:rFonts w:hint="eastAsia" w:ascii="宋体" w:hAnsi="宋体" w:cs="等线"/>
          <w:b w:val="0"/>
          <w:bCs w:val="0"/>
          <w:sz w:val="30"/>
          <w:szCs w:val="30"/>
          <w:lang w:val="en-US" w:eastAsia="zh-CN"/>
        </w:rPr>
      </w:pPr>
      <w:r>
        <w:rPr>
          <w:rFonts w:hint="eastAsia" w:ascii="宋体" w:hAnsi="宋体" w:cs="等线"/>
          <w:b w:val="0"/>
          <w:bCs w:val="0"/>
          <w:sz w:val="30"/>
          <w:szCs w:val="30"/>
          <w:lang w:val="en-US" w:eastAsia="zh-CN"/>
        </w:rPr>
        <w:t>绩效指标明确性：2020年度免费开放经费项目根据2020年度项目实施内容，设置了数量、质量、时效、成本、社会效益、可持续影响及服务对象满意度等绩效指标，指标设置较为量化，指标内容较为明确，该指标得分5分。</w:t>
      </w:r>
    </w:p>
    <w:p>
      <w:pPr>
        <w:numPr>
          <w:ilvl w:val="0"/>
          <w:numId w:val="0"/>
        </w:numPr>
        <w:autoSpaceDE w:val="0"/>
        <w:autoSpaceDN w:val="0"/>
        <w:adjustRightInd w:val="0"/>
        <w:spacing w:line="360" w:lineRule="auto"/>
        <w:ind w:leftChars="200"/>
        <w:rPr>
          <w:rFonts w:hint="eastAsia" w:ascii="宋体" w:hAnsi="宋体" w:cs="等线"/>
          <w:b/>
          <w:bCs/>
          <w:sz w:val="30"/>
          <w:szCs w:val="30"/>
          <w:lang w:val="en-US" w:eastAsia="zh-CN"/>
        </w:rPr>
      </w:pPr>
      <w:r>
        <w:rPr>
          <w:rFonts w:hint="eastAsia" w:ascii="宋体" w:hAnsi="宋体" w:cs="等线"/>
          <w:b/>
          <w:bCs/>
          <w:sz w:val="30"/>
          <w:szCs w:val="30"/>
          <w:lang w:val="en-US" w:eastAsia="zh-CN"/>
        </w:rPr>
        <w:t>4、资金投入</w:t>
      </w:r>
    </w:p>
    <w:p>
      <w:pPr>
        <w:numPr>
          <w:ilvl w:val="0"/>
          <w:numId w:val="0"/>
        </w:numPr>
        <w:autoSpaceDE w:val="0"/>
        <w:autoSpaceDN w:val="0"/>
        <w:adjustRightInd w:val="0"/>
        <w:spacing w:line="360" w:lineRule="auto"/>
        <w:ind w:leftChars="200" w:firstLine="600" w:firstLineChars="200"/>
        <w:rPr>
          <w:rFonts w:hint="eastAsia" w:ascii="宋体" w:hAnsi="宋体" w:cs="等线"/>
          <w:b w:val="0"/>
          <w:bCs w:val="0"/>
          <w:sz w:val="30"/>
          <w:szCs w:val="30"/>
          <w:lang w:val="en-US" w:eastAsia="zh-CN"/>
        </w:rPr>
      </w:pPr>
      <w:r>
        <w:rPr>
          <w:rFonts w:hint="eastAsia" w:ascii="宋体" w:hAnsi="宋体" w:cs="等线"/>
          <w:b w:val="0"/>
          <w:bCs w:val="0"/>
          <w:sz w:val="30"/>
          <w:szCs w:val="30"/>
          <w:lang w:val="en-US" w:eastAsia="zh-CN"/>
        </w:rPr>
        <w:t>预算编制科学性：我单位根据预算编制依据、预算资金总额度及资金用途进行预算编制，预算资金安排严格按照了政府抄告要求执行，该项目依照资金具体用途编制了项目预算和资金使用测算表，资金投入分解较为细化，与项目实施内容基本匹配，该指标得分2.5分。</w:t>
      </w:r>
    </w:p>
    <w:p>
      <w:pPr>
        <w:numPr>
          <w:ilvl w:val="0"/>
          <w:numId w:val="0"/>
        </w:numPr>
        <w:autoSpaceDE w:val="0"/>
        <w:autoSpaceDN w:val="0"/>
        <w:adjustRightInd w:val="0"/>
        <w:spacing w:line="360" w:lineRule="auto"/>
        <w:ind w:leftChars="200" w:firstLine="600" w:firstLineChars="200"/>
        <w:rPr>
          <w:rFonts w:hint="eastAsia" w:ascii="宋体" w:hAnsi="宋体" w:cs="等线"/>
          <w:b w:val="0"/>
          <w:bCs w:val="0"/>
          <w:sz w:val="30"/>
          <w:szCs w:val="30"/>
          <w:lang w:val="en-US" w:eastAsia="zh-CN"/>
        </w:rPr>
      </w:pPr>
      <w:r>
        <w:rPr>
          <w:rFonts w:hint="eastAsia" w:ascii="宋体" w:hAnsi="宋体" w:cs="等线"/>
          <w:b w:val="0"/>
          <w:bCs w:val="0"/>
          <w:sz w:val="30"/>
          <w:szCs w:val="30"/>
          <w:lang w:val="en-US" w:eastAsia="zh-CN"/>
        </w:rPr>
        <w:t>资金分配合理性：该项目的资金分配过程主要参考了资金测算依据等文件，项目资金分配内容较为细化，资金分配过程合理，该指标得分2.5分。</w:t>
      </w:r>
    </w:p>
    <w:p>
      <w:pPr>
        <w:numPr>
          <w:ilvl w:val="0"/>
          <w:numId w:val="0"/>
        </w:numPr>
        <w:autoSpaceDE w:val="0"/>
        <w:autoSpaceDN w:val="0"/>
        <w:adjustRightInd w:val="0"/>
        <w:spacing w:line="360" w:lineRule="auto"/>
        <w:ind w:leftChars="200"/>
        <w:rPr>
          <w:rFonts w:hint="eastAsia" w:ascii="宋体" w:hAnsi="宋体" w:cs="等线"/>
          <w:b/>
          <w:bCs/>
          <w:sz w:val="30"/>
          <w:szCs w:val="30"/>
          <w:lang w:val="en-US" w:eastAsia="zh-CN"/>
        </w:rPr>
      </w:pPr>
      <w:r>
        <w:rPr>
          <w:rFonts w:hint="eastAsia" w:ascii="宋体" w:hAnsi="宋体" w:cs="等线"/>
          <w:b/>
          <w:bCs/>
          <w:sz w:val="30"/>
          <w:szCs w:val="30"/>
          <w:lang w:val="en-US" w:eastAsia="zh-CN"/>
        </w:rPr>
        <w:t>（二）项目过程情况</w:t>
      </w:r>
    </w:p>
    <w:p>
      <w:pPr>
        <w:numPr>
          <w:ilvl w:val="0"/>
          <w:numId w:val="0"/>
        </w:numPr>
        <w:autoSpaceDE w:val="0"/>
        <w:autoSpaceDN w:val="0"/>
        <w:adjustRightInd w:val="0"/>
        <w:spacing w:line="360" w:lineRule="auto"/>
        <w:ind w:leftChars="200"/>
        <w:rPr>
          <w:rFonts w:hint="eastAsia" w:ascii="宋体" w:hAnsi="宋体" w:cs="等线"/>
          <w:b/>
          <w:bCs/>
          <w:sz w:val="30"/>
          <w:szCs w:val="30"/>
          <w:lang w:val="en-US" w:eastAsia="zh-CN"/>
        </w:rPr>
      </w:pPr>
      <w:r>
        <w:rPr>
          <w:rFonts w:hint="eastAsia" w:ascii="宋体" w:hAnsi="宋体" w:cs="等线"/>
          <w:b/>
          <w:bCs/>
          <w:sz w:val="30"/>
          <w:szCs w:val="30"/>
          <w:lang w:val="en-US" w:eastAsia="zh-CN"/>
        </w:rPr>
        <w:t>1、资金管理</w:t>
      </w:r>
    </w:p>
    <w:p>
      <w:pPr>
        <w:numPr>
          <w:ilvl w:val="0"/>
          <w:numId w:val="0"/>
        </w:numPr>
        <w:autoSpaceDE w:val="0"/>
        <w:autoSpaceDN w:val="0"/>
        <w:adjustRightInd w:val="0"/>
        <w:spacing w:line="360" w:lineRule="auto"/>
        <w:ind w:leftChars="200" w:firstLine="600" w:firstLineChars="200"/>
        <w:rPr>
          <w:rFonts w:hint="eastAsia" w:ascii="宋体" w:hAnsi="宋体" w:cs="等线"/>
          <w:b w:val="0"/>
          <w:bCs w:val="0"/>
          <w:sz w:val="30"/>
          <w:szCs w:val="30"/>
          <w:lang w:val="en-US" w:eastAsia="zh-CN"/>
        </w:rPr>
      </w:pPr>
      <w:r>
        <w:rPr>
          <w:rFonts w:hint="eastAsia" w:ascii="宋体" w:hAnsi="宋体" w:cs="等线"/>
          <w:b w:val="0"/>
          <w:bCs w:val="0"/>
          <w:sz w:val="30"/>
          <w:szCs w:val="30"/>
          <w:lang w:val="en-US" w:eastAsia="zh-CN"/>
        </w:rPr>
        <w:t>资金到位率：2020年市财政预算安排资金81.6万元，截止2020年12月31日市财政下拨81.6万元，资金到位率100%，本次得分2.5分。</w:t>
      </w:r>
    </w:p>
    <w:p>
      <w:pPr>
        <w:numPr>
          <w:ilvl w:val="0"/>
          <w:numId w:val="0"/>
        </w:numPr>
        <w:autoSpaceDE w:val="0"/>
        <w:autoSpaceDN w:val="0"/>
        <w:adjustRightInd w:val="0"/>
        <w:spacing w:line="360" w:lineRule="auto"/>
        <w:ind w:leftChars="200" w:firstLine="600" w:firstLineChars="200"/>
        <w:rPr>
          <w:rFonts w:hint="eastAsia" w:ascii="宋体" w:hAnsi="宋体" w:cs="等线"/>
          <w:b w:val="0"/>
          <w:bCs w:val="0"/>
          <w:sz w:val="30"/>
          <w:szCs w:val="30"/>
          <w:lang w:val="en-US" w:eastAsia="zh-CN"/>
        </w:rPr>
      </w:pPr>
      <w:r>
        <w:rPr>
          <w:rFonts w:hint="eastAsia" w:ascii="宋体" w:hAnsi="宋体" w:cs="等线"/>
          <w:b w:val="0"/>
          <w:bCs w:val="0"/>
          <w:sz w:val="30"/>
          <w:szCs w:val="30"/>
          <w:lang w:val="en-US" w:eastAsia="zh-CN"/>
        </w:rPr>
        <w:t>预算执行率：2020年市财政预算安排资金81.6万元，截止2020年12月31日本单位实际支出81.6万元，资金预算执行率为100%，本次得分2.5分。</w:t>
      </w:r>
    </w:p>
    <w:p>
      <w:pPr>
        <w:numPr>
          <w:ilvl w:val="0"/>
          <w:numId w:val="0"/>
        </w:numPr>
        <w:autoSpaceDE w:val="0"/>
        <w:autoSpaceDN w:val="0"/>
        <w:adjustRightInd w:val="0"/>
        <w:spacing w:line="360" w:lineRule="auto"/>
        <w:ind w:leftChars="200"/>
        <w:rPr>
          <w:rFonts w:hint="eastAsia" w:ascii="宋体" w:hAnsi="宋体" w:cs="等线"/>
          <w:b/>
          <w:bCs/>
          <w:sz w:val="30"/>
          <w:szCs w:val="30"/>
          <w:lang w:val="en-US" w:eastAsia="zh-CN"/>
        </w:rPr>
      </w:pPr>
      <w:r>
        <w:rPr>
          <w:rFonts w:hint="eastAsia" w:ascii="宋体" w:hAnsi="宋体" w:cs="等线"/>
          <w:b/>
          <w:bCs/>
          <w:sz w:val="30"/>
          <w:szCs w:val="30"/>
          <w:lang w:val="en-US" w:eastAsia="zh-CN"/>
        </w:rPr>
        <w:t>2、资金管理</w:t>
      </w:r>
    </w:p>
    <w:p>
      <w:pPr>
        <w:numPr>
          <w:ilvl w:val="0"/>
          <w:numId w:val="0"/>
        </w:numPr>
        <w:autoSpaceDE w:val="0"/>
        <w:autoSpaceDN w:val="0"/>
        <w:adjustRightInd w:val="0"/>
        <w:spacing w:line="360" w:lineRule="auto"/>
        <w:ind w:leftChars="200" w:firstLine="600" w:firstLineChars="200"/>
        <w:rPr>
          <w:rFonts w:hint="eastAsia" w:ascii="宋体" w:hAnsi="宋体" w:cs="等线"/>
          <w:b w:val="0"/>
          <w:bCs w:val="0"/>
          <w:sz w:val="30"/>
          <w:szCs w:val="30"/>
          <w:lang w:val="en-US" w:eastAsia="zh-CN"/>
        </w:rPr>
      </w:pPr>
      <w:r>
        <w:rPr>
          <w:rFonts w:hint="eastAsia" w:ascii="宋体" w:hAnsi="宋体" w:cs="等线"/>
          <w:b w:val="0"/>
          <w:bCs w:val="0"/>
          <w:sz w:val="30"/>
          <w:szCs w:val="30"/>
          <w:lang w:val="en-US" w:eastAsia="zh-CN"/>
        </w:rPr>
        <w:t>资金使用合规性：该项目资金使用依照南昌市图书馆的财务管理制度执行，资金的拨付有完整的审批程序和手续，且符合项目预算批复或合同规定的用途；在本次评价过程中，对该项目支出涉及的全部凭证进行了核查，未发现截留、挤占、挪用、虚列支出等情况，资金使用合规性较好，该指标得分5分。</w:t>
      </w:r>
    </w:p>
    <w:p>
      <w:pPr>
        <w:numPr>
          <w:ilvl w:val="0"/>
          <w:numId w:val="0"/>
        </w:numPr>
        <w:autoSpaceDE w:val="0"/>
        <w:autoSpaceDN w:val="0"/>
        <w:adjustRightInd w:val="0"/>
        <w:spacing w:line="360" w:lineRule="auto"/>
        <w:ind w:leftChars="200"/>
        <w:rPr>
          <w:rFonts w:hint="eastAsia" w:ascii="宋体" w:hAnsi="宋体" w:cs="等线"/>
          <w:b/>
          <w:bCs/>
          <w:sz w:val="30"/>
          <w:szCs w:val="30"/>
          <w:lang w:val="en-US" w:eastAsia="zh-CN"/>
        </w:rPr>
      </w:pPr>
      <w:r>
        <w:rPr>
          <w:rFonts w:hint="eastAsia" w:ascii="宋体" w:hAnsi="宋体" w:cs="等线"/>
          <w:b/>
          <w:bCs/>
          <w:sz w:val="30"/>
          <w:szCs w:val="30"/>
          <w:lang w:val="en-US" w:eastAsia="zh-CN"/>
        </w:rPr>
        <w:t>3、组织实施</w:t>
      </w:r>
    </w:p>
    <w:p>
      <w:pPr>
        <w:numPr>
          <w:ilvl w:val="0"/>
          <w:numId w:val="0"/>
        </w:numPr>
        <w:autoSpaceDE w:val="0"/>
        <w:autoSpaceDN w:val="0"/>
        <w:adjustRightInd w:val="0"/>
        <w:spacing w:line="360" w:lineRule="auto"/>
        <w:ind w:leftChars="200" w:firstLine="600" w:firstLineChars="200"/>
        <w:rPr>
          <w:rFonts w:hint="eastAsia" w:ascii="宋体" w:hAnsi="宋体" w:cs="等线"/>
          <w:b w:val="0"/>
          <w:bCs w:val="0"/>
          <w:sz w:val="30"/>
          <w:szCs w:val="30"/>
          <w:lang w:val="en-US" w:eastAsia="zh-CN"/>
        </w:rPr>
      </w:pPr>
      <w:r>
        <w:rPr>
          <w:rFonts w:hint="eastAsia" w:ascii="宋体" w:hAnsi="宋体" w:cs="等线"/>
          <w:b w:val="0"/>
          <w:bCs w:val="0"/>
          <w:sz w:val="30"/>
          <w:szCs w:val="30"/>
          <w:lang w:val="en-US" w:eastAsia="zh-CN"/>
        </w:rPr>
        <w:t>管理制度健全性：该项目依照市文广新旅局和南昌市图书馆资金管理相关文件内容，设立了相应的财务管理制度和支出管理制度，相关管理制度合法、合规、完整、健全，该指标得分2.5分。</w:t>
      </w:r>
    </w:p>
    <w:p>
      <w:pPr>
        <w:numPr>
          <w:ilvl w:val="0"/>
          <w:numId w:val="0"/>
        </w:numPr>
        <w:autoSpaceDE w:val="0"/>
        <w:autoSpaceDN w:val="0"/>
        <w:adjustRightInd w:val="0"/>
        <w:spacing w:line="360" w:lineRule="auto"/>
        <w:ind w:leftChars="200"/>
        <w:rPr>
          <w:rFonts w:hint="eastAsia" w:ascii="宋体" w:hAnsi="宋体" w:cs="等线"/>
          <w:b w:val="0"/>
          <w:bCs w:val="0"/>
          <w:sz w:val="30"/>
          <w:szCs w:val="30"/>
          <w:lang w:val="en-US" w:eastAsia="zh-CN"/>
        </w:rPr>
      </w:pPr>
      <w:r>
        <w:rPr>
          <w:rFonts w:hint="eastAsia" w:ascii="宋体" w:hAnsi="宋体" w:cs="等线"/>
          <w:b w:val="0"/>
          <w:bCs w:val="0"/>
          <w:sz w:val="30"/>
          <w:szCs w:val="30"/>
          <w:lang w:val="en-US" w:eastAsia="zh-CN"/>
        </w:rPr>
        <w:t>制度执行有效性：在项目执行过程中，项目单位根据本单位制定的《财务管理制度》、《支出管理制度》等系列文件开展工作，项目实施的人员条件、场地设备、信息支撑等均已落实到位，项目实施资料归档齐全，项目支出调整手续完备，该指标得分2.5分。</w:t>
      </w:r>
    </w:p>
    <w:p>
      <w:pPr>
        <w:numPr>
          <w:ilvl w:val="0"/>
          <w:numId w:val="0"/>
        </w:numPr>
        <w:autoSpaceDE w:val="0"/>
        <w:autoSpaceDN w:val="0"/>
        <w:adjustRightInd w:val="0"/>
        <w:spacing w:line="360" w:lineRule="auto"/>
        <w:ind w:leftChars="200"/>
        <w:rPr>
          <w:rFonts w:hint="eastAsia" w:ascii="宋体" w:hAnsi="宋体" w:cs="等线"/>
          <w:b/>
          <w:bCs/>
          <w:sz w:val="30"/>
          <w:szCs w:val="30"/>
          <w:lang w:val="en-US" w:eastAsia="zh-CN"/>
        </w:rPr>
      </w:pPr>
      <w:r>
        <w:rPr>
          <w:rFonts w:hint="eastAsia" w:ascii="宋体" w:hAnsi="宋体" w:cs="等线"/>
          <w:b/>
          <w:bCs/>
          <w:sz w:val="30"/>
          <w:szCs w:val="30"/>
          <w:lang w:val="en-US" w:eastAsia="zh-CN"/>
        </w:rPr>
        <w:t>（三）项目产出情况</w:t>
      </w:r>
    </w:p>
    <w:p>
      <w:pPr>
        <w:numPr>
          <w:ilvl w:val="0"/>
          <w:numId w:val="0"/>
        </w:numPr>
        <w:autoSpaceDE w:val="0"/>
        <w:autoSpaceDN w:val="0"/>
        <w:adjustRightInd w:val="0"/>
        <w:spacing w:line="360" w:lineRule="auto"/>
        <w:ind w:leftChars="200"/>
        <w:rPr>
          <w:rFonts w:hint="eastAsia" w:ascii="宋体" w:hAnsi="宋体" w:cs="等线"/>
          <w:b/>
          <w:bCs/>
          <w:sz w:val="30"/>
          <w:szCs w:val="30"/>
          <w:lang w:val="en-US" w:eastAsia="zh-CN"/>
        </w:rPr>
      </w:pPr>
      <w:r>
        <w:rPr>
          <w:rFonts w:hint="eastAsia" w:ascii="宋体" w:hAnsi="宋体" w:cs="等线"/>
          <w:b/>
          <w:bCs/>
          <w:sz w:val="30"/>
          <w:szCs w:val="30"/>
          <w:lang w:val="en-US" w:eastAsia="zh-CN"/>
        </w:rPr>
        <w:t>1、产出数量指标情况分析</w:t>
      </w:r>
    </w:p>
    <w:p>
      <w:pPr>
        <w:numPr>
          <w:ilvl w:val="0"/>
          <w:numId w:val="0"/>
        </w:numPr>
        <w:autoSpaceDE w:val="0"/>
        <w:autoSpaceDN w:val="0"/>
        <w:adjustRightInd w:val="0"/>
        <w:spacing w:line="360" w:lineRule="auto"/>
        <w:ind w:leftChars="200" w:firstLine="600" w:firstLineChars="200"/>
        <w:rPr>
          <w:rFonts w:hint="eastAsia" w:ascii="宋体" w:hAnsi="宋体" w:cs="等线"/>
          <w:b w:val="0"/>
          <w:bCs w:val="0"/>
          <w:sz w:val="30"/>
          <w:szCs w:val="30"/>
          <w:lang w:val="en-US" w:eastAsia="zh-CN"/>
        </w:rPr>
      </w:pPr>
      <w:r>
        <w:rPr>
          <w:rFonts w:hint="eastAsia" w:ascii="宋体" w:hAnsi="宋体" w:cs="等线"/>
          <w:b w:val="0"/>
          <w:bCs w:val="0"/>
          <w:sz w:val="30"/>
          <w:szCs w:val="30"/>
          <w:lang w:val="en-US" w:eastAsia="zh-CN"/>
        </w:rPr>
        <w:t>场馆免费开放300天完成率100%：图书馆2020年度免费开放天数330天以上，达到年初设定300天目标，经考核，分值5分，本次评分为5分；</w:t>
      </w:r>
    </w:p>
    <w:p>
      <w:pPr>
        <w:numPr>
          <w:ilvl w:val="0"/>
          <w:numId w:val="0"/>
        </w:numPr>
        <w:autoSpaceDE w:val="0"/>
        <w:autoSpaceDN w:val="0"/>
        <w:adjustRightInd w:val="0"/>
        <w:spacing w:line="360" w:lineRule="auto"/>
        <w:ind w:leftChars="200" w:firstLine="600" w:firstLineChars="200"/>
        <w:rPr>
          <w:rFonts w:hint="eastAsia" w:ascii="宋体" w:hAnsi="宋体" w:cs="等线"/>
          <w:b w:val="0"/>
          <w:bCs w:val="0"/>
          <w:sz w:val="30"/>
          <w:szCs w:val="30"/>
          <w:lang w:val="en-US" w:eastAsia="zh-CN"/>
        </w:rPr>
      </w:pPr>
      <w:r>
        <w:rPr>
          <w:rFonts w:hint="eastAsia" w:ascii="宋体" w:hAnsi="宋体" w:cs="等线"/>
          <w:b w:val="0"/>
          <w:bCs w:val="0"/>
          <w:sz w:val="30"/>
          <w:szCs w:val="30"/>
          <w:lang w:val="en-US" w:eastAsia="zh-CN"/>
        </w:rPr>
        <w:t>场馆设备维修维护6次完成率100%：南昌市图书馆2020年度场馆设备维修维护6次，完成情况较好。分值5分，本次评分为5分。</w:t>
      </w:r>
    </w:p>
    <w:p>
      <w:pPr>
        <w:numPr>
          <w:ilvl w:val="0"/>
          <w:numId w:val="0"/>
        </w:numPr>
        <w:autoSpaceDE w:val="0"/>
        <w:autoSpaceDN w:val="0"/>
        <w:adjustRightInd w:val="0"/>
        <w:spacing w:line="360" w:lineRule="auto"/>
        <w:ind w:leftChars="200" w:firstLine="600" w:firstLineChars="200"/>
        <w:rPr>
          <w:rFonts w:hint="eastAsia" w:ascii="宋体" w:hAnsi="宋体" w:cs="等线"/>
          <w:b w:val="0"/>
          <w:bCs w:val="0"/>
          <w:sz w:val="30"/>
          <w:szCs w:val="30"/>
          <w:lang w:val="en-US" w:eastAsia="zh-CN"/>
        </w:rPr>
      </w:pPr>
      <w:r>
        <w:rPr>
          <w:rFonts w:hint="eastAsia" w:ascii="宋体" w:hAnsi="宋体" w:cs="等线"/>
          <w:b w:val="0"/>
          <w:bCs w:val="0"/>
          <w:sz w:val="30"/>
          <w:szCs w:val="30"/>
          <w:lang w:val="en-US" w:eastAsia="zh-CN"/>
        </w:rPr>
        <w:t>物业管理面积15000M²完成率100%：文化馆2020年度物业管理面积达到15000M²，完成情况较好。分值5分，本次评分为5分。</w:t>
      </w:r>
    </w:p>
    <w:p>
      <w:pPr>
        <w:numPr>
          <w:ilvl w:val="0"/>
          <w:numId w:val="0"/>
        </w:numPr>
        <w:autoSpaceDE w:val="0"/>
        <w:autoSpaceDN w:val="0"/>
        <w:adjustRightInd w:val="0"/>
        <w:spacing w:line="360" w:lineRule="auto"/>
        <w:ind w:leftChars="200" w:firstLine="600" w:firstLineChars="200"/>
        <w:rPr>
          <w:rFonts w:hint="eastAsia" w:ascii="宋体" w:hAnsi="宋体" w:cs="等线"/>
          <w:b/>
          <w:bCs/>
          <w:sz w:val="30"/>
          <w:szCs w:val="30"/>
          <w:lang w:val="en-US" w:eastAsia="zh-CN"/>
        </w:rPr>
      </w:pPr>
      <w:r>
        <w:rPr>
          <w:rFonts w:hint="eastAsia" w:ascii="宋体" w:hAnsi="宋体" w:cs="等线"/>
          <w:b w:val="0"/>
          <w:bCs w:val="0"/>
          <w:sz w:val="30"/>
          <w:szCs w:val="30"/>
          <w:lang w:val="en-US" w:eastAsia="zh-CN"/>
        </w:rPr>
        <w:t>综上，南昌市图书馆产出数量指标基本达到预期目标，产出数量指标满分15分。经考核，本次评分为15分</w:t>
      </w:r>
      <w:r>
        <w:rPr>
          <w:rFonts w:hint="eastAsia" w:ascii="宋体" w:hAnsi="宋体" w:cs="等线"/>
          <w:b/>
          <w:bCs/>
          <w:sz w:val="30"/>
          <w:szCs w:val="30"/>
          <w:lang w:val="en-US" w:eastAsia="zh-CN"/>
        </w:rPr>
        <w:t>。</w:t>
      </w:r>
    </w:p>
    <w:p>
      <w:pPr>
        <w:numPr>
          <w:ilvl w:val="0"/>
          <w:numId w:val="0"/>
        </w:numPr>
        <w:autoSpaceDE w:val="0"/>
        <w:autoSpaceDN w:val="0"/>
        <w:adjustRightInd w:val="0"/>
        <w:spacing w:line="360" w:lineRule="auto"/>
        <w:ind w:leftChars="200"/>
        <w:rPr>
          <w:rFonts w:hint="eastAsia" w:ascii="宋体" w:hAnsi="宋体" w:cs="等线"/>
          <w:b/>
          <w:bCs/>
          <w:sz w:val="30"/>
          <w:szCs w:val="30"/>
          <w:lang w:val="en-US" w:eastAsia="zh-CN"/>
        </w:rPr>
      </w:pPr>
      <w:r>
        <w:rPr>
          <w:rFonts w:hint="eastAsia" w:ascii="宋体" w:hAnsi="宋体" w:cs="等线"/>
          <w:b/>
          <w:bCs/>
          <w:sz w:val="30"/>
          <w:szCs w:val="30"/>
          <w:lang w:val="en-US" w:eastAsia="zh-CN"/>
        </w:rPr>
        <w:t>2、产出质量指标情况分析</w:t>
      </w:r>
    </w:p>
    <w:p>
      <w:pPr>
        <w:numPr>
          <w:ilvl w:val="0"/>
          <w:numId w:val="0"/>
        </w:numPr>
        <w:autoSpaceDE w:val="0"/>
        <w:autoSpaceDN w:val="0"/>
        <w:adjustRightInd w:val="0"/>
        <w:spacing w:line="360" w:lineRule="auto"/>
        <w:ind w:leftChars="200" w:firstLine="600" w:firstLineChars="200"/>
        <w:rPr>
          <w:rFonts w:hint="eastAsia" w:ascii="宋体" w:hAnsi="宋体" w:cs="等线"/>
          <w:b w:val="0"/>
          <w:bCs w:val="0"/>
          <w:sz w:val="30"/>
          <w:szCs w:val="30"/>
          <w:lang w:val="en-US" w:eastAsia="zh-CN"/>
        </w:rPr>
      </w:pPr>
      <w:r>
        <w:rPr>
          <w:rFonts w:hint="eastAsia" w:ascii="宋体" w:hAnsi="宋体" w:cs="等线"/>
          <w:b w:val="0"/>
          <w:bCs w:val="0"/>
          <w:sz w:val="30"/>
          <w:szCs w:val="30"/>
          <w:lang w:val="en-US" w:eastAsia="zh-CN"/>
        </w:rPr>
        <w:t>场馆免费开放安全运行达标率100%：南昌市图书馆2020年度充分保障场馆安全运行，场馆免费开放安全运行达标率100%。分值5分，本次评分为5分；</w:t>
      </w:r>
    </w:p>
    <w:p>
      <w:pPr>
        <w:numPr>
          <w:ilvl w:val="0"/>
          <w:numId w:val="0"/>
        </w:numPr>
        <w:autoSpaceDE w:val="0"/>
        <w:autoSpaceDN w:val="0"/>
        <w:adjustRightInd w:val="0"/>
        <w:spacing w:line="360" w:lineRule="auto"/>
        <w:ind w:leftChars="200" w:firstLine="600" w:firstLineChars="200"/>
        <w:rPr>
          <w:rFonts w:hint="eastAsia" w:ascii="宋体" w:hAnsi="宋体" w:cs="等线"/>
          <w:b w:val="0"/>
          <w:bCs w:val="0"/>
          <w:sz w:val="30"/>
          <w:szCs w:val="30"/>
          <w:lang w:val="en-US" w:eastAsia="zh-CN"/>
        </w:rPr>
      </w:pPr>
      <w:r>
        <w:rPr>
          <w:rFonts w:hint="eastAsia" w:ascii="宋体" w:hAnsi="宋体" w:cs="等线"/>
          <w:b w:val="0"/>
          <w:bCs w:val="0"/>
          <w:sz w:val="30"/>
          <w:szCs w:val="30"/>
          <w:lang w:val="en-US" w:eastAsia="zh-CN"/>
        </w:rPr>
        <w:t>场馆设备维修后正常运行达标率100%：南昌市图书馆2020年对设备进行维修维护共6次，主要是展厅、馆内控制设备等零星工程，维修后正常运行达标率100%。分值5分，本次评分为5分；</w:t>
      </w:r>
    </w:p>
    <w:p>
      <w:pPr>
        <w:numPr>
          <w:ilvl w:val="0"/>
          <w:numId w:val="0"/>
        </w:numPr>
        <w:autoSpaceDE w:val="0"/>
        <w:autoSpaceDN w:val="0"/>
        <w:adjustRightInd w:val="0"/>
        <w:spacing w:line="360" w:lineRule="auto"/>
        <w:ind w:leftChars="200" w:firstLine="600" w:firstLineChars="200"/>
        <w:rPr>
          <w:rFonts w:hint="eastAsia" w:ascii="宋体" w:hAnsi="宋体" w:cs="等线"/>
          <w:b w:val="0"/>
          <w:bCs w:val="0"/>
          <w:sz w:val="30"/>
          <w:szCs w:val="30"/>
          <w:lang w:val="en-US" w:eastAsia="zh-CN"/>
        </w:rPr>
      </w:pPr>
      <w:r>
        <w:rPr>
          <w:rFonts w:hint="eastAsia" w:ascii="宋体" w:hAnsi="宋体" w:cs="等线"/>
          <w:b w:val="0"/>
          <w:bCs w:val="0"/>
          <w:sz w:val="30"/>
          <w:szCs w:val="30"/>
          <w:lang w:val="en-US" w:eastAsia="zh-CN"/>
        </w:rPr>
        <w:t>物业公司招投标政府采购达标率100%：南昌市图书馆2020年物业管理服务通过政府采购实现，物业公司招投标政府采购达标率100%。分值5分，本次评分为5分。</w:t>
      </w:r>
    </w:p>
    <w:p>
      <w:pPr>
        <w:numPr>
          <w:ilvl w:val="0"/>
          <w:numId w:val="0"/>
        </w:numPr>
        <w:autoSpaceDE w:val="0"/>
        <w:autoSpaceDN w:val="0"/>
        <w:adjustRightInd w:val="0"/>
        <w:spacing w:line="360" w:lineRule="auto"/>
        <w:ind w:leftChars="200"/>
        <w:rPr>
          <w:rFonts w:hint="eastAsia" w:ascii="宋体" w:hAnsi="宋体" w:cs="等线"/>
          <w:b w:val="0"/>
          <w:bCs w:val="0"/>
          <w:sz w:val="30"/>
          <w:szCs w:val="30"/>
          <w:lang w:val="en-US" w:eastAsia="zh-CN"/>
        </w:rPr>
      </w:pPr>
      <w:r>
        <w:rPr>
          <w:rFonts w:hint="eastAsia" w:ascii="宋体" w:hAnsi="宋体" w:cs="等线"/>
          <w:b w:val="0"/>
          <w:bCs w:val="0"/>
          <w:sz w:val="30"/>
          <w:szCs w:val="30"/>
          <w:lang w:val="en-US" w:eastAsia="zh-CN"/>
        </w:rPr>
        <w:t>综上，产出质量指标满分15分，经考核，本次评分为15分。</w:t>
      </w:r>
    </w:p>
    <w:p>
      <w:pPr>
        <w:numPr>
          <w:ilvl w:val="0"/>
          <w:numId w:val="0"/>
        </w:numPr>
        <w:autoSpaceDE w:val="0"/>
        <w:autoSpaceDN w:val="0"/>
        <w:adjustRightInd w:val="0"/>
        <w:spacing w:line="360" w:lineRule="auto"/>
        <w:ind w:leftChars="200"/>
        <w:rPr>
          <w:rFonts w:hint="eastAsia" w:ascii="宋体" w:hAnsi="宋体" w:cs="等线"/>
          <w:b/>
          <w:bCs/>
          <w:sz w:val="30"/>
          <w:szCs w:val="30"/>
          <w:lang w:val="en-US" w:eastAsia="zh-CN"/>
        </w:rPr>
      </w:pPr>
      <w:r>
        <w:rPr>
          <w:rFonts w:hint="eastAsia" w:ascii="宋体" w:hAnsi="宋体" w:cs="等线"/>
          <w:b/>
          <w:bCs/>
          <w:sz w:val="30"/>
          <w:szCs w:val="30"/>
          <w:lang w:val="en-US" w:eastAsia="zh-CN"/>
        </w:rPr>
        <w:t>3、产出时效指标情况分析</w:t>
      </w:r>
    </w:p>
    <w:p>
      <w:pPr>
        <w:numPr>
          <w:ilvl w:val="0"/>
          <w:numId w:val="0"/>
        </w:numPr>
        <w:autoSpaceDE w:val="0"/>
        <w:autoSpaceDN w:val="0"/>
        <w:adjustRightInd w:val="0"/>
        <w:spacing w:line="360" w:lineRule="auto"/>
        <w:ind w:leftChars="200" w:firstLine="600" w:firstLineChars="200"/>
        <w:rPr>
          <w:rFonts w:hint="eastAsia" w:ascii="宋体" w:hAnsi="宋体" w:cs="等线"/>
          <w:b w:val="0"/>
          <w:bCs w:val="0"/>
          <w:sz w:val="30"/>
          <w:szCs w:val="30"/>
          <w:lang w:val="en-US" w:eastAsia="zh-CN"/>
        </w:rPr>
      </w:pPr>
      <w:r>
        <w:rPr>
          <w:rFonts w:hint="eastAsia" w:ascii="宋体" w:hAnsi="宋体" w:cs="等线"/>
          <w:b w:val="0"/>
          <w:bCs w:val="0"/>
          <w:sz w:val="30"/>
          <w:szCs w:val="30"/>
          <w:lang w:val="en-US" w:eastAsia="zh-CN"/>
        </w:rPr>
        <w:t>免费开放项目要求在2020年12月31日前完成，场馆设备维修维护及时率、各类活动举办及时率、物业处理各类问题及时率、物业资金拨款及时率为100%，完成情况较为良好。分值10分，本次评分为10分。</w:t>
      </w:r>
    </w:p>
    <w:p>
      <w:pPr>
        <w:numPr>
          <w:ilvl w:val="0"/>
          <w:numId w:val="0"/>
        </w:numPr>
        <w:autoSpaceDE w:val="0"/>
        <w:autoSpaceDN w:val="0"/>
        <w:adjustRightInd w:val="0"/>
        <w:spacing w:line="360" w:lineRule="auto"/>
        <w:ind w:leftChars="200"/>
        <w:rPr>
          <w:rFonts w:hint="eastAsia" w:ascii="宋体" w:hAnsi="宋体" w:cs="等线"/>
          <w:b/>
          <w:bCs/>
          <w:sz w:val="30"/>
          <w:szCs w:val="30"/>
          <w:lang w:val="en-US" w:eastAsia="zh-CN"/>
        </w:rPr>
      </w:pPr>
      <w:r>
        <w:rPr>
          <w:rFonts w:hint="eastAsia" w:ascii="宋体" w:hAnsi="宋体" w:cs="等线"/>
          <w:b/>
          <w:bCs/>
          <w:sz w:val="30"/>
          <w:szCs w:val="30"/>
          <w:lang w:val="en-US" w:eastAsia="zh-CN"/>
        </w:rPr>
        <w:t>4、产出成本指标情况分析</w:t>
      </w:r>
    </w:p>
    <w:p>
      <w:pPr>
        <w:numPr>
          <w:ilvl w:val="0"/>
          <w:numId w:val="0"/>
        </w:numPr>
        <w:autoSpaceDE w:val="0"/>
        <w:autoSpaceDN w:val="0"/>
        <w:adjustRightInd w:val="0"/>
        <w:spacing w:line="360" w:lineRule="auto"/>
        <w:ind w:leftChars="200" w:firstLine="600" w:firstLineChars="200"/>
        <w:rPr>
          <w:rFonts w:hint="eastAsia" w:ascii="宋体" w:hAnsi="宋体" w:cs="等线"/>
          <w:b w:val="0"/>
          <w:bCs w:val="0"/>
          <w:sz w:val="30"/>
          <w:szCs w:val="30"/>
          <w:lang w:val="en-US" w:eastAsia="zh-CN"/>
        </w:rPr>
      </w:pPr>
      <w:r>
        <w:rPr>
          <w:rFonts w:hint="eastAsia" w:ascii="宋体" w:hAnsi="宋体" w:cs="等线"/>
          <w:b w:val="0"/>
          <w:bCs w:val="0"/>
          <w:sz w:val="30"/>
          <w:szCs w:val="30"/>
          <w:lang w:val="en-US" w:eastAsia="zh-CN"/>
        </w:rPr>
        <w:t>本项目2020年预算下达81.6万元，执行数为81.6万元，场馆免费开放水电、场馆设备维修维护、物业管理费成本控制率为100%。资金使用率较高。分值10分，本次评分为10分。</w:t>
      </w:r>
    </w:p>
    <w:p>
      <w:pPr>
        <w:numPr>
          <w:ilvl w:val="0"/>
          <w:numId w:val="0"/>
        </w:numPr>
        <w:autoSpaceDE w:val="0"/>
        <w:autoSpaceDN w:val="0"/>
        <w:adjustRightInd w:val="0"/>
        <w:spacing w:line="360" w:lineRule="auto"/>
        <w:ind w:leftChars="200"/>
        <w:rPr>
          <w:rFonts w:hint="eastAsia" w:ascii="宋体" w:hAnsi="宋体" w:cs="等线"/>
          <w:b/>
          <w:bCs/>
          <w:sz w:val="30"/>
          <w:szCs w:val="30"/>
          <w:lang w:val="en-US" w:eastAsia="zh-CN"/>
        </w:rPr>
      </w:pPr>
      <w:r>
        <w:rPr>
          <w:rFonts w:hint="eastAsia" w:ascii="宋体" w:hAnsi="宋体" w:cs="等线"/>
          <w:b/>
          <w:bCs/>
          <w:sz w:val="30"/>
          <w:szCs w:val="30"/>
          <w:lang w:val="en-US" w:eastAsia="zh-CN"/>
        </w:rPr>
        <w:t>（四）项目效益情况</w:t>
      </w:r>
    </w:p>
    <w:p>
      <w:pPr>
        <w:numPr>
          <w:ilvl w:val="0"/>
          <w:numId w:val="0"/>
        </w:numPr>
        <w:autoSpaceDE w:val="0"/>
        <w:autoSpaceDN w:val="0"/>
        <w:adjustRightInd w:val="0"/>
        <w:spacing w:line="360" w:lineRule="auto"/>
        <w:ind w:leftChars="200"/>
        <w:rPr>
          <w:rFonts w:hint="eastAsia" w:ascii="宋体" w:hAnsi="宋体" w:cs="等线"/>
          <w:b/>
          <w:bCs/>
          <w:sz w:val="30"/>
          <w:szCs w:val="30"/>
          <w:lang w:val="en-US" w:eastAsia="zh-CN"/>
        </w:rPr>
      </w:pPr>
      <w:r>
        <w:rPr>
          <w:rFonts w:hint="eastAsia" w:ascii="宋体" w:hAnsi="宋体" w:cs="等线"/>
          <w:b/>
          <w:bCs/>
          <w:sz w:val="30"/>
          <w:szCs w:val="30"/>
          <w:lang w:val="en-US" w:eastAsia="zh-CN"/>
        </w:rPr>
        <w:t>1、经济效益指标情况分析</w:t>
      </w:r>
    </w:p>
    <w:p>
      <w:pPr>
        <w:numPr>
          <w:ilvl w:val="0"/>
          <w:numId w:val="0"/>
        </w:numPr>
        <w:autoSpaceDE w:val="0"/>
        <w:autoSpaceDN w:val="0"/>
        <w:adjustRightInd w:val="0"/>
        <w:spacing w:line="360" w:lineRule="auto"/>
        <w:ind w:leftChars="200"/>
        <w:rPr>
          <w:rFonts w:hint="eastAsia" w:ascii="宋体" w:hAnsi="宋体" w:cs="等线"/>
          <w:b/>
          <w:bCs/>
          <w:sz w:val="30"/>
          <w:szCs w:val="30"/>
          <w:lang w:val="en-US" w:eastAsia="zh-CN"/>
        </w:rPr>
      </w:pPr>
      <w:r>
        <w:rPr>
          <w:rFonts w:hint="eastAsia" w:ascii="宋体" w:hAnsi="宋体" w:cs="等线"/>
          <w:b/>
          <w:bCs/>
          <w:sz w:val="30"/>
          <w:szCs w:val="30"/>
          <w:lang w:val="en-US" w:eastAsia="zh-CN"/>
        </w:rPr>
        <w:t>无。</w:t>
      </w:r>
    </w:p>
    <w:p>
      <w:pPr>
        <w:numPr>
          <w:ilvl w:val="0"/>
          <w:numId w:val="0"/>
        </w:numPr>
        <w:autoSpaceDE w:val="0"/>
        <w:autoSpaceDN w:val="0"/>
        <w:adjustRightInd w:val="0"/>
        <w:spacing w:line="360" w:lineRule="auto"/>
        <w:ind w:leftChars="200"/>
        <w:rPr>
          <w:rFonts w:hint="eastAsia" w:ascii="宋体" w:hAnsi="宋体" w:cs="等线"/>
          <w:b/>
          <w:bCs/>
          <w:sz w:val="30"/>
          <w:szCs w:val="30"/>
          <w:lang w:val="en-US" w:eastAsia="zh-CN"/>
        </w:rPr>
      </w:pPr>
      <w:r>
        <w:rPr>
          <w:rFonts w:hint="eastAsia" w:ascii="宋体" w:hAnsi="宋体" w:cs="等线"/>
          <w:b/>
          <w:bCs/>
          <w:sz w:val="30"/>
          <w:szCs w:val="30"/>
          <w:lang w:val="en-US" w:eastAsia="zh-CN"/>
        </w:rPr>
        <w:t>2、社会效益指标情况分析</w:t>
      </w:r>
    </w:p>
    <w:p>
      <w:pPr>
        <w:numPr>
          <w:ilvl w:val="0"/>
          <w:numId w:val="0"/>
        </w:numPr>
        <w:autoSpaceDE w:val="0"/>
        <w:autoSpaceDN w:val="0"/>
        <w:adjustRightInd w:val="0"/>
        <w:spacing w:line="360" w:lineRule="auto"/>
        <w:ind w:leftChars="200" w:firstLine="600" w:firstLineChars="200"/>
        <w:rPr>
          <w:rFonts w:hint="eastAsia" w:ascii="宋体" w:hAnsi="宋体" w:cs="等线"/>
          <w:b w:val="0"/>
          <w:bCs w:val="0"/>
          <w:sz w:val="30"/>
          <w:szCs w:val="30"/>
          <w:lang w:val="en-US" w:eastAsia="zh-CN"/>
        </w:rPr>
      </w:pPr>
      <w:r>
        <w:rPr>
          <w:rFonts w:hint="eastAsia" w:ascii="宋体" w:hAnsi="宋体" w:cs="等线"/>
          <w:b w:val="0"/>
          <w:bCs w:val="0"/>
          <w:sz w:val="30"/>
          <w:szCs w:val="30"/>
          <w:lang w:val="en-US" w:eastAsia="zh-CN"/>
        </w:rPr>
        <w:t>本项目内容具有较高的社会效益，本项目的开展有利于丰富群众文化生活，服务功能提升，全年共接待读者24.2万余人，借阅书籍16.2万余册次，获得国家级表彰3项，省市级表彰8项，普及了全民阅读，但是未达到年初设定目标。分值5分，本次评分为4分。</w:t>
      </w:r>
    </w:p>
    <w:p>
      <w:pPr>
        <w:numPr>
          <w:ilvl w:val="0"/>
          <w:numId w:val="0"/>
        </w:numPr>
        <w:autoSpaceDE w:val="0"/>
        <w:autoSpaceDN w:val="0"/>
        <w:adjustRightInd w:val="0"/>
        <w:spacing w:line="360" w:lineRule="auto"/>
        <w:ind w:leftChars="200"/>
        <w:rPr>
          <w:rFonts w:hint="eastAsia" w:ascii="宋体" w:hAnsi="宋体" w:cs="等线"/>
          <w:b/>
          <w:bCs/>
          <w:sz w:val="30"/>
          <w:szCs w:val="30"/>
          <w:lang w:val="en-US" w:eastAsia="zh-CN"/>
        </w:rPr>
      </w:pPr>
      <w:r>
        <w:rPr>
          <w:rFonts w:hint="eastAsia" w:ascii="宋体" w:hAnsi="宋体" w:cs="等线"/>
          <w:b/>
          <w:bCs/>
          <w:sz w:val="30"/>
          <w:szCs w:val="30"/>
          <w:lang w:val="en-US" w:eastAsia="zh-CN"/>
        </w:rPr>
        <w:t>3、生态效益指标情况分析</w:t>
      </w:r>
    </w:p>
    <w:p>
      <w:pPr>
        <w:numPr>
          <w:ilvl w:val="0"/>
          <w:numId w:val="0"/>
        </w:numPr>
        <w:autoSpaceDE w:val="0"/>
        <w:autoSpaceDN w:val="0"/>
        <w:adjustRightInd w:val="0"/>
        <w:spacing w:line="360" w:lineRule="auto"/>
        <w:ind w:leftChars="200"/>
        <w:rPr>
          <w:rFonts w:hint="eastAsia" w:ascii="宋体" w:hAnsi="宋体" w:cs="等线"/>
          <w:b/>
          <w:bCs/>
          <w:sz w:val="30"/>
          <w:szCs w:val="30"/>
          <w:lang w:val="en-US" w:eastAsia="zh-CN"/>
        </w:rPr>
      </w:pPr>
      <w:r>
        <w:rPr>
          <w:rFonts w:hint="eastAsia" w:ascii="宋体" w:hAnsi="宋体" w:cs="等线"/>
          <w:b w:val="0"/>
          <w:bCs w:val="0"/>
          <w:sz w:val="30"/>
          <w:szCs w:val="30"/>
          <w:lang w:val="en-US" w:eastAsia="zh-CN"/>
        </w:rPr>
        <w:t>无</w:t>
      </w:r>
      <w:r>
        <w:rPr>
          <w:rFonts w:hint="eastAsia" w:ascii="宋体" w:hAnsi="宋体" w:cs="等线"/>
          <w:b/>
          <w:bCs/>
          <w:sz w:val="30"/>
          <w:szCs w:val="30"/>
          <w:lang w:val="en-US" w:eastAsia="zh-CN"/>
        </w:rPr>
        <w:t>。</w:t>
      </w:r>
    </w:p>
    <w:p>
      <w:pPr>
        <w:numPr>
          <w:ilvl w:val="0"/>
          <w:numId w:val="0"/>
        </w:numPr>
        <w:autoSpaceDE w:val="0"/>
        <w:autoSpaceDN w:val="0"/>
        <w:adjustRightInd w:val="0"/>
        <w:spacing w:line="360" w:lineRule="auto"/>
        <w:ind w:leftChars="200"/>
        <w:rPr>
          <w:rFonts w:hint="eastAsia" w:ascii="宋体" w:hAnsi="宋体" w:cs="等线"/>
          <w:b/>
          <w:bCs/>
          <w:sz w:val="30"/>
          <w:szCs w:val="30"/>
          <w:lang w:val="en-US" w:eastAsia="zh-CN"/>
        </w:rPr>
      </w:pPr>
      <w:r>
        <w:rPr>
          <w:rFonts w:hint="eastAsia" w:ascii="宋体" w:hAnsi="宋体" w:cs="等线"/>
          <w:b/>
          <w:bCs/>
          <w:sz w:val="30"/>
          <w:szCs w:val="30"/>
          <w:lang w:val="en-US" w:eastAsia="zh-CN"/>
        </w:rPr>
        <w:t>4、可持续影响指标情况分析</w:t>
      </w:r>
    </w:p>
    <w:p>
      <w:pPr>
        <w:numPr>
          <w:ilvl w:val="0"/>
          <w:numId w:val="0"/>
        </w:numPr>
        <w:autoSpaceDE w:val="0"/>
        <w:autoSpaceDN w:val="0"/>
        <w:adjustRightInd w:val="0"/>
        <w:spacing w:line="360" w:lineRule="auto"/>
        <w:ind w:leftChars="200" w:firstLine="600" w:firstLineChars="200"/>
        <w:rPr>
          <w:rFonts w:hint="eastAsia" w:ascii="宋体" w:hAnsi="宋体" w:cs="等线"/>
          <w:b w:val="0"/>
          <w:bCs w:val="0"/>
          <w:sz w:val="30"/>
          <w:szCs w:val="30"/>
          <w:lang w:val="en-US" w:eastAsia="zh-CN"/>
        </w:rPr>
      </w:pPr>
      <w:r>
        <w:rPr>
          <w:rFonts w:hint="eastAsia" w:ascii="宋体" w:hAnsi="宋体" w:cs="等线"/>
          <w:b w:val="0"/>
          <w:bCs w:val="0"/>
          <w:sz w:val="30"/>
          <w:szCs w:val="30"/>
          <w:lang w:val="en-US" w:eastAsia="zh-CN"/>
        </w:rPr>
        <w:t>本项目具有优异的可持续影响，</w:t>
      </w:r>
      <w:r>
        <w:rPr>
          <w:rFonts w:hint="eastAsia" w:ascii="宋体" w:hAnsi="宋体" w:eastAsia="宋体" w:cs="宋体"/>
          <w:b w:val="0"/>
          <w:bCs w:val="0"/>
          <w:sz w:val="30"/>
          <w:szCs w:val="30"/>
          <w:lang w:val="en-US" w:eastAsia="zh-CN"/>
        </w:rPr>
        <w:t>主要体现在</w:t>
      </w:r>
      <w:r>
        <w:rPr>
          <w:rFonts w:hint="eastAsia" w:ascii="宋体" w:hAnsi="宋体" w:eastAsia="宋体" w:cs="宋体"/>
          <w:color w:val="000000"/>
          <w:kern w:val="0"/>
          <w:sz w:val="30"/>
          <w:szCs w:val="30"/>
          <w:lang w:val="en-US" w:eastAsia="zh-CN"/>
        </w:rPr>
        <w:t>全民阅读影响力显著提升物业管理制度及方式持续更新</w:t>
      </w:r>
      <w:r>
        <w:rPr>
          <w:rFonts w:hint="eastAsia" w:ascii="宋体" w:hAnsi="宋体" w:eastAsia="宋体" w:cs="宋体"/>
          <w:b w:val="0"/>
          <w:bCs w:val="0"/>
          <w:sz w:val="30"/>
          <w:szCs w:val="30"/>
          <w:lang w:val="en-US" w:eastAsia="zh-CN"/>
        </w:rPr>
        <w:t>，2020年图书馆全方位实施物业管理考</w:t>
      </w:r>
      <w:r>
        <w:rPr>
          <w:rFonts w:hint="eastAsia" w:ascii="宋体" w:hAnsi="宋体" w:cs="等线"/>
          <w:b w:val="0"/>
          <w:bCs w:val="0"/>
          <w:sz w:val="30"/>
          <w:szCs w:val="30"/>
          <w:lang w:val="en-US" w:eastAsia="zh-CN"/>
        </w:rPr>
        <w:t>核制度，免费开放目标的实现，提升了图书馆的服务功能，丰富了群众文化生活。分值5分，本次评分为5分。</w:t>
      </w:r>
    </w:p>
    <w:p>
      <w:pPr>
        <w:numPr>
          <w:ilvl w:val="0"/>
          <w:numId w:val="0"/>
        </w:numPr>
        <w:autoSpaceDE w:val="0"/>
        <w:autoSpaceDN w:val="0"/>
        <w:adjustRightInd w:val="0"/>
        <w:spacing w:line="360" w:lineRule="auto"/>
        <w:ind w:leftChars="200"/>
        <w:rPr>
          <w:rFonts w:hint="eastAsia" w:ascii="宋体" w:hAnsi="宋体" w:cs="等线"/>
          <w:b/>
          <w:bCs/>
          <w:sz w:val="30"/>
          <w:szCs w:val="30"/>
          <w:lang w:val="en-US" w:eastAsia="zh-CN"/>
        </w:rPr>
      </w:pPr>
      <w:r>
        <w:rPr>
          <w:rFonts w:hint="eastAsia" w:ascii="宋体" w:hAnsi="宋体" w:cs="等线"/>
          <w:b/>
          <w:bCs/>
          <w:sz w:val="30"/>
          <w:szCs w:val="30"/>
          <w:lang w:val="en-US" w:eastAsia="zh-CN"/>
        </w:rPr>
        <w:t>（五）满意度指标情况分析</w:t>
      </w:r>
    </w:p>
    <w:p>
      <w:pPr>
        <w:numPr>
          <w:ilvl w:val="0"/>
          <w:numId w:val="0"/>
        </w:numPr>
        <w:autoSpaceDE w:val="0"/>
        <w:autoSpaceDN w:val="0"/>
        <w:adjustRightInd w:val="0"/>
        <w:spacing w:line="360" w:lineRule="auto"/>
        <w:ind w:leftChars="200" w:firstLine="600" w:firstLineChars="200"/>
        <w:rPr>
          <w:rFonts w:hint="eastAsia" w:ascii="宋体" w:hAnsi="宋体" w:cs="等线"/>
          <w:b w:val="0"/>
          <w:bCs w:val="0"/>
          <w:sz w:val="30"/>
          <w:szCs w:val="30"/>
          <w:lang w:val="en-US" w:eastAsia="zh-CN"/>
        </w:rPr>
      </w:pPr>
      <w:r>
        <w:rPr>
          <w:rFonts w:hint="eastAsia" w:ascii="宋体" w:hAnsi="宋体" w:cs="等线"/>
          <w:b w:val="0"/>
          <w:bCs w:val="0"/>
          <w:sz w:val="30"/>
          <w:szCs w:val="30"/>
          <w:lang w:val="en-US" w:eastAsia="zh-CN"/>
        </w:rPr>
        <w:t>读者满意度92%：图书馆馆2020年度经现场调查、电话回访、问卷调查等方式调查参览人员满意度，满意度92%，未达到年初目标，分值2分，本次评分为1.5分。</w:t>
      </w:r>
    </w:p>
    <w:p>
      <w:pPr>
        <w:numPr>
          <w:ilvl w:val="0"/>
          <w:numId w:val="0"/>
        </w:numPr>
        <w:autoSpaceDE w:val="0"/>
        <w:autoSpaceDN w:val="0"/>
        <w:adjustRightInd w:val="0"/>
        <w:spacing w:line="360" w:lineRule="auto"/>
        <w:ind w:leftChars="200" w:firstLine="600" w:firstLineChars="200"/>
        <w:rPr>
          <w:rFonts w:hint="eastAsia" w:ascii="宋体" w:hAnsi="宋体" w:cs="等线"/>
          <w:b w:val="0"/>
          <w:bCs w:val="0"/>
          <w:sz w:val="30"/>
          <w:szCs w:val="30"/>
          <w:lang w:val="en-US" w:eastAsia="zh-CN"/>
        </w:rPr>
      </w:pPr>
      <w:r>
        <w:rPr>
          <w:rFonts w:hint="eastAsia" w:ascii="宋体" w:hAnsi="宋体" w:cs="等线"/>
          <w:b w:val="0"/>
          <w:bCs w:val="0"/>
          <w:sz w:val="30"/>
          <w:szCs w:val="30"/>
          <w:lang w:val="en-US" w:eastAsia="zh-CN"/>
        </w:rPr>
        <w:t>职工满意度100%：2020年图书馆举办各种全民阅读活动，各项活动都圆满结束，职工满意度100%，分值3分，本次评分为2.5分。</w:t>
      </w:r>
    </w:p>
    <w:p>
      <w:pPr>
        <w:numPr>
          <w:ilvl w:val="0"/>
          <w:numId w:val="0"/>
        </w:numPr>
        <w:autoSpaceDE w:val="0"/>
        <w:autoSpaceDN w:val="0"/>
        <w:adjustRightInd w:val="0"/>
        <w:spacing w:line="360" w:lineRule="auto"/>
        <w:ind w:leftChars="200"/>
        <w:rPr>
          <w:rFonts w:hint="eastAsia" w:ascii="宋体" w:hAnsi="宋体" w:cs="等线"/>
          <w:b/>
          <w:bCs/>
          <w:sz w:val="30"/>
          <w:szCs w:val="30"/>
          <w:lang w:val="en-US" w:eastAsia="zh-CN"/>
        </w:rPr>
      </w:pPr>
      <w:r>
        <w:rPr>
          <w:rFonts w:hint="eastAsia" w:ascii="宋体" w:hAnsi="宋体" w:cs="等线"/>
          <w:b/>
          <w:bCs/>
          <w:sz w:val="30"/>
          <w:szCs w:val="30"/>
          <w:lang w:val="en-US" w:eastAsia="zh-CN"/>
        </w:rPr>
        <w:t>五、主要经验及做法、存在的问题及原因分析</w:t>
      </w:r>
    </w:p>
    <w:p>
      <w:pPr>
        <w:autoSpaceDE w:val="0"/>
        <w:autoSpaceDN w:val="0"/>
        <w:adjustRightInd w:val="0"/>
        <w:spacing w:line="360" w:lineRule="auto"/>
        <w:ind w:firstLine="602" w:firstLineChars="200"/>
        <w:rPr>
          <w:rFonts w:hint="eastAsia" w:ascii="宋体" w:hAnsi="宋体" w:cs="等线"/>
          <w:b/>
          <w:bCs/>
          <w:sz w:val="30"/>
          <w:szCs w:val="30"/>
          <w:lang w:val="en-US" w:eastAsia="zh-CN"/>
        </w:rPr>
      </w:pPr>
      <w:r>
        <w:rPr>
          <w:rFonts w:hint="eastAsia" w:ascii="宋体" w:hAnsi="宋体" w:cs="等线"/>
          <w:b/>
          <w:bCs/>
          <w:sz w:val="30"/>
          <w:szCs w:val="30"/>
          <w:lang w:val="en-US" w:eastAsia="zh-CN"/>
        </w:rPr>
        <w:t>1、主要经验及做法</w:t>
      </w:r>
    </w:p>
    <w:p>
      <w:pPr>
        <w:autoSpaceDE w:val="0"/>
        <w:autoSpaceDN w:val="0"/>
        <w:adjustRightInd w:val="0"/>
        <w:spacing w:line="360" w:lineRule="auto"/>
        <w:ind w:firstLine="600" w:firstLineChars="200"/>
        <w:rPr>
          <w:rFonts w:hint="eastAsia" w:ascii="宋体" w:hAnsi="宋体" w:cs="等线"/>
          <w:b w:val="0"/>
          <w:bCs w:val="0"/>
          <w:sz w:val="30"/>
          <w:szCs w:val="30"/>
          <w:lang w:val="en-US" w:eastAsia="zh-CN"/>
        </w:rPr>
      </w:pPr>
      <w:r>
        <w:rPr>
          <w:rFonts w:hint="eastAsia" w:ascii="宋体" w:hAnsi="宋体" w:cs="等线"/>
          <w:b w:val="0"/>
          <w:bCs w:val="0"/>
          <w:sz w:val="30"/>
          <w:szCs w:val="30"/>
          <w:lang w:val="en-US" w:eastAsia="zh-CN"/>
        </w:rPr>
        <w:t>一是严守制度。在2020年免费开放过程中，严格遵守国家法律法规、国民经济发展规划和相关政策；符合行业发展规划和政策要求；与部门职责范围相符，属于部门履职所需；</w:t>
      </w:r>
    </w:p>
    <w:p>
      <w:pPr>
        <w:autoSpaceDE w:val="0"/>
        <w:autoSpaceDN w:val="0"/>
        <w:adjustRightInd w:val="0"/>
        <w:spacing w:line="360" w:lineRule="auto"/>
        <w:ind w:firstLine="600" w:firstLineChars="200"/>
        <w:rPr>
          <w:rFonts w:hint="default" w:ascii="宋体" w:hAnsi="宋体" w:cs="等线"/>
          <w:b w:val="0"/>
          <w:bCs w:val="0"/>
          <w:sz w:val="30"/>
          <w:szCs w:val="30"/>
          <w:lang w:val="en-US" w:eastAsia="zh-CN"/>
        </w:rPr>
      </w:pPr>
      <w:r>
        <w:rPr>
          <w:rFonts w:hint="eastAsia" w:ascii="宋体" w:hAnsi="宋体" w:cs="等线"/>
          <w:b w:val="0"/>
          <w:bCs w:val="0"/>
          <w:sz w:val="30"/>
          <w:szCs w:val="30"/>
          <w:lang w:val="en-US" w:eastAsia="zh-CN"/>
        </w:rPr>
        <w:t xml:space="preserve">二是加强业务能力。加强业务人员相关培训及监督，提高市图书馆的服务水平，使市图书馆的相关项目可持续性增强，提高读者的满意度。                                                                      </w:t>
      </w:r>
    </w:p>
    <w:p>
      <w:pPr>
        <w:numPr>
          <w:ilvl w:val="0"/>
          <w:numId w:val="7"/>
        </w:numPr>
        <w:autoSpaceDE w:val="0"/>
        <w:autoSpaceDN w:val="0"/>
        <w:adjustRightInd w:val="0"/>
        <w:spacing w:line="360" w:lineRule="auto"/>
        <w:ind w:left="560" w:leftChars="0" w:firstLine="0" w:firstLineChars="0"/>
        <w:rPr>
          <w:rFonts w:hint="eastAsia" w:ascii="宋体" w:hAnsi="宋体" w:cs="等线"/>
          <w:b/>
          <w:bCs/>
          <w:sz w:val="30"/>
          <w:szCs w:val="30"/>
          <w:lang w:val="en-US" w:eastAsia="zh-CN"/>
        </w:rPr>
      </w:pPr>
      <w:r>
        <w:rPr>
          <w:rFonts w:hint="eastAsia" w:ascii="宋体" w:hAnsi="宋体" w:cs="等线"/>
          <w:b/>
          <w:bCs/>
          <w:sz w:val="30"/>
          <w:szCs w:val="30"/>
          <w:lang w:val="en-US" w:eastAsia="zh-CN"/>
        </w:rPr>
        <w:t>存在的问题</w:t>
      </w:r>
    </w:p>
    <w:p>
      <w:pPr>
        <w:numPr>
          <w:ilvl w:val="0"/>
          <w:numId w:val="0"/>
        </w:numPr>
        <w:autoSpaceDE w:val="0"/>
        <w:autoSpaceDN w:val="0"/>
        <w:adjustRightInd w:val="0"/>
        <w:spacing w:line="360" w:lineRule="auto"/>
        <w:ind w:left="560" w:leftChars="0" w:firstLine="600" w:firstLineChars="200"/>
        <w:rPr>
          <w:rFonts w:hint="default" w:ascii="宋体" w:hAnsi="宋体" w:cs="等线"/>
          <w:b w:val="0"/>
          <w:bCs w:val="0"/>
          <w:sz w:val="30"/>
          <w:szCs w:val="30"/>
          <w:lang w:val="en-US" w:eastAsia="zh-CN"/>
        </w:rPr>
      </w:pPr>
      <w:r>
        <w:rPr>
          <w:rFonts w:hint="eastAsia" w:ascii="宋体" w:hAnsi="宋体" w:cs="等线"/>
          <w:b w:val="0"/>
          <w:bCs w:val="0"/>
          <w:sz w:val="30"/>
          <w:szCs w:val="30"/>
          <w:lang w:val="en-US" w:eastAsia="zh-CN"/>
        </w:rPr>
        <w:t>在免费开放项目的实施过程中，市图书馆的服务功能有待进一步提升，可持续性有待进一步增强以及读者满意度还有提升的空间。</w:t>
      </w:r>
    </w:p>
    <w:p>
      <w:pPr>
        <w:numPr>
          <w:ilvl w:val="0"/>
          <w:numId w:val="7"/>
        </w:numPr>
        <w:autoSpaceDE w:val="0"/>
        <w:autoSpaceDN w:val="0"/>
        <w:adjustRightInd w:val="0"/>
        <w:spacing w:line="360" w:lineRule="auto"/>
        <w:ind w:left="560" w:leftChars="0" w:firstLine="0" w:firstLineChars="0"/>
        <w:rPr>
          <w:rFonts w:hint="eastAsia" w:ascii="宋体" w:hAnsi="宋体" w:cs="等线"/>
          <w:b/>
          <w:bCs/>
          <w:sz w:val="30"/>
          <w:szCs w:val="30"/>
          <w:lang w:val="en-US" w:eastAsia="zh-CN"/>
        </w:rPr>
      </w:pPr>
      <w:r>
        <w:rPr>
          <w:rFonts w:hint="eastAsia" w:ascii="宋体" w:hAnsi="宋体" w:cs="等线"/>
          <w:b/>
          <w:bCs/>
          <w:sz w:val="30"/>
          <w:szCs w:val="30"/>
          <w:lang w:val="en-US" w:eastAsia="zh-CN"/>
        </w:rPr>
        <w:t>原因分析</w:t>
      </w:r>
    </w:p>
    <w:p>
      <w:pPr>
        <w:numPr>
          <w:ilvl w:val="0"/>
          <w:numId w:val="0"/>
        </w:numPr>
        <w:autoSpaceDE w:val="0"/>
        <w:autoSpaceDN w:val="0"/>
        <w:adjustRightInd w:val="0"/>
        <w:spacing w:line="360" w:lineRule="auto"/>
        <w:ind w:left="560" w:leftChars="0" w:firstLine="600" w:firstLineChars="200"/>
        <w:rPr>
          <w:rFonts w:hint="default" w:ascii="宋体" w:hAnsi="宋体" w:cs="等线"/>
          <w:b w:val="0"/>
          <w:bCs w:val="0"/>
          <w:sz w:val="30"/>
          <w:szCs w:val="30"/>
          <w:lang w:val="en-US" w:eastAsia="zh-CN"/>
        </w:rPr>
      </w:pPr>
      <w:r>
        <w:rPr>
          <w:rFonts w:hint="eastAsia" w:ascii="宋体" w:hAnsi="宋体" w:cs="等线"/>
          <w:b w:val="0"/>
          <w:bCs w:val="0"/>
          <w:sz w:val="30"/>
          <w:szCs w:val="30"/>
          <w:lang w:val="en-US" w:eastAsia="zh-CN"/>
        </w:rPr>
        <w:t>随着社会的进一步发展，读者对市图书馆的服务要求越来越高，对全民阅读的普及程度要求越来越高。</w:t>
      </w:r>
    </w:p>
    <w:p>
      <w:pPr>
        <w:numPr>
          <w:ilvl w:val="0"/>
          <w:numId w:val="8"/>
        </w:numPr>
        <w:autoSpaceDE w:val="0"/>
        <w:autoSpaceDN w:val="0"/>
        <w:adjustRightInd w:val="0"/>
        <w:spacing w:line="360" w:lineRule="auto"/>
        <w:ind w:firstLine="560"/>
        <w:rPr>
          <w:rFonts w:hint="eastAsia" w:ascii="宋体" w:hAnsi="宋体" w:cs="等线"/>
          <w:b/>
          <w:bCs/>
          <w:sz w:val="30"/>
          <w:szCs w:val="30"/>
          <w:lang w:val="en-US" w:eastAsia="zh-CN"/>
        </w:rPr>
      </w:pPr>
      <w:r>
        <w:rPr>
          <w:rFonts w:hint="eastAsia" w:ascii="宋体" w:hAnsi="宋体" w:cs="等线"/>
          <w:b/>
          <w:bCs/>
          <w:sz w:val="30"/>
          <w:szCs w:val="30"/>
          <w:lang w:val="en-US" w:eastAsia="zh-CN"/>
        </w:rPr>
        <w:t>有关建议</w:t>
      </w:r>
    </w:p>
    <w:p>
      <w:pPr>
        <w:autoSpaceDE w:val="0"/>
        <w:autoSpaceDN w:val="0"/>
        <w:adjustRightInd w:val="0"/>
        <w:spacing w:line="360" w:lineRule="auto"/>
        <w:ind w:firstLine="560"/>
        <w:rPr>
          <w:rFonts w:ascii="宋体" w:hAnsi="宋体" w:eastAsia="宋体" w:cs="等线"/>
          <w:sz w:val="30"/>
          <w:szCs w:val="30"/>
          <w:lang w:val="zh-CN"/>
        </w:rPr>
      </w:pPr>
      <w:r>
        <w:rPr>
          <w:rFonts w:hint="eastAsia" w:ascii="宋体" w:hAnsi="宋体" w:eastAsia="宋体" w:cs="等线"/>
          <w:sz w:val="30"/>
          <w:szCs w:val="30"/>
          <w:lang w:val="en-US" w:eastAsia="zh-CN"/>
        </w:rPr>
        <w:t>1</w:t>
      </w:r>
      <w:r>
        <w:rPr>
          <w:rFonts w:hint="eastAsia" w:ascii="宋体" w:hAnsi="宋体" w:eastAsia="宋体" w:cs="等线"/>
          <w:sz w:val="30"/>
          <w:szCs w:val="30"/>
          <w:lang w:val="zh-CN"/>
        </w:rPr>
        <w:t>、利用项目绩效监督结果，促进部门增强责任和效益观念，提高财政资金支出决策水平和管理水平。</w:t>
      </w:r>
    </w:p>
    <w:p>
      <w:pPr>
        <w:autoSpaceDE w:val="0"/>
        <w:autoSpaceDN w:val="0"/>
        <w:adjustRightInd w:val="0"/>
        <w:spacing w:line="240" w:lineRule="auto"/>
        <w:ind w:firstLine="560"/>
        <w:rPr>
          <w:rFonts w:hint="eastAsia" w:ascii="宋体" w:hAnsi="宋体" w:eastAsia="宋体" w:cs="宋体"/>
          <w:sz w:val="30"/>
          <w:szCs w:val="30"/>
          <w:lang w:val="en-US" w:eastAsia="zh-CN"/>
        </w:rPr>
      </w:pPr>
      <w:r>
        <w:rPr>
          <w:rFonts w:hint="eastAsia" w:ascii="宋体" w:hAnsi="宋体" w:cs="宋体"/>
          <w:sz w:val="30"/>
          <w:szCs w:val="30"/>
          <w:lang w:val="en-US" w:eastAsia="zh-CN"/>
        </w:rPr>
        <w:t>2、</w:t>
      </w:r>
      <w:r>
        <w:rPr>
          <w:rFonts w:hint="eastAsia" w:ascii="宋体" w:hAnsi="宋体" w:eastAsia="宋体" w:cs="宋体"/>
          <w:sz w:val="30"/>
          <w:szCs w:val="30"/>
        </w:rPr>
        <w:t>把控</w:t>
      </w:r>
      <w:r>
        <w:rPr>
          <w:rFonts w:hint="eastAsia" w:ascii="宋体" w:hAnsi="宋体" w:eastAsia="宋体" w:cs="宋体"/>
          <w:sz w:val="30"/>
          <w:szCs w:val="30"/>
          <w:lang w:eastAsia="zh-CN"/>
        </w:rPr>
        <w:t>及监督管理</w:t>
      </w:r>
      <w:r>
        <w:rPr>
          <w:rFonts w:hint="eastAsia" w:ascii="宋体" w:hAnsi="宋体" w:eastAsia="宋体" w:cs="宋体"/>
          <w:sz w:val="30"/>
          <w:szCs w:val="30"/>
        </w:rPr>
        <w:t>，做到从预算到产出的全进程管理，</w:t>
      </w:r>
      <w:r>
        <w:rPr>
          <w:rFonts w:hint="eastAsia" w:ascii="宋体" w:hAnsi="宋体" w:eastAsia="宋体" w:cs="宋体"/>
          <w:sz w:val="30"/>
          <w:szCs w:val="30"/>
          <w:lang w:eastAsia="zh-CN"/>
        </w:rPr>
        <w:t>对监控中发现的问题及时纠偏和整改到位，确保所有财政资金项目当年如期完成。</w:t>
      </w:r>
      <w:r>
        <w:rPr>
          <w:rFonts w:hint="eastAsia" w:ascii="宋体" w:hAnsi="宋体" w:eastAsia="宋体" w:cs="宋体"/>
          <w:sz w:val="30"/>
          <w:szCs w:val="30"/>
          <w:lang w:val="en-US" w:eastAsia="zh-CN"/>
        </w:rPr>
        <w:t>能够更好地开展全民阅读活动，发挥市图书馆的社会功能。</w:t>
      </w:r>
    </w:p>
    <w:p>
      <w:pPr>
        <w:autoSpaceDE w:val="0"/>
        <w:autoSpaceDN w:val="0"/>
        <w:adjustRightInd w:val="0"/>
        <w:spacing w:line="240" w:lineRule="auto"/>
        <w:ind w:firstLine="560"/>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3、</w:t>
      </w:r>
      <w:r>
        <w:rPr>
          <w:rFonts w:hint="eastAsia" w:ascii="宋体" w:hAnsi="宋体" w:cs="等线"/>
          <w:b w:val="0"/>
          <w:bCs w:val="0"/>
          <w:sz w:val="30"/>
          <w:szCs w:val="30"/>
          <w:lang w:val="en-US" w:eastAsia="zh-CN"/>
        </w:rPr>
        <w:t>加强业务人员相关培训及监督，提高市图书馆的服务水平，使市图书馆的相关项目可持续性增强，提高读者的满意度。</w:t>
      </w:r>
    </w:p>
    <w:p>
      <w:pPr>
        <w:autoSpaceDE w:val="0"/>
        <w:autoSpaceDN w:val="0"/>
        <w:adjustRightInd w:val="0"/>
        <w:spacing w:line="240" w:lineRule="auto"/>
        <w:ind w:firstLine="560"/>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七、其他需要说明的问题</w:t>
      </w:r>
    </w:p>
    <w:p>
      <w:pPr>
        <w:autoSpaceDE w:val="0"/>
        <w:autoSpaceDN w:val="0"/>
        <w:adjustRightInd w:val="0"/>
        <w:spacing w:line="240" w:lineRule="auto"/>
        <w:ind w:firstLine="560"/>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无</w:t>
      </w:r>
    </w:p>
    <w:p>
      <w:pPr>
        <w:autoSpaceDE w:val="0"/>
        <w:autoSpaceDN w:val="0"/>
        <w:adjustRightInd w:val="0"/>
        <w:spacing w:line="360" w:lineRule="auto"/>
        <w:ind w:firstLine="560"/>
        <w:rPr>
          <w:rFonts w:hint="eastAsia" w:ascii="宋体" w:hAnsi="宋体" w:eastAsia="宋体" w:cs="等线"/>
          <w:sz w:val="30"/>
          <w:szCs w:val="30"/>
          <w:lang w:val="zh-CN"/>
        </w:rPr>
      </w:pPr>
    </w:p>
    <w:p>
      <w:pPr>
        <w:spacing w:line="600" w:lineRule="exact"/>
        <w:ind w:left="6338" w:leftChars="304" w:hanging="5700" w:hangingChars="1900"/>
        <w:jc w:val="right"/>
        <w:rPr>
          <w:rFonts w:hint="eastAsia" w:ascii="仿宋_GB2312" w:hAnsi="仿宋_GB2312" w:eastAsia="仿宋_GB2312" w:cs="仿宋_GB2312"/>
          <w:b w:val="0"/>
          <w:bCs/>
          <w:sz w:val="32"/>
          <w:szCs w:val="32"/>
          <w:lang w:val="en-US" w:eastAsia="zh-CN"/>
        </w:rPr>
      </w:pPr>
      <w:r>
        <w:rPr>
          <w:rFonts w:hint="eastAsia" w:ascii="宋体" w:hAnsi="宋体" w:eastAsia="宋体" w:cs="等线"/>
          <w:sz w:val="30"/>
          <w:szCs w:val="30"/>
          <w:lang w:val="en-US" w:eastAsia="zh-CN"/>
        </w:rPr>
        <w:t xml:space="preserve">                          </w:t>
      </w:r>
      <w:r>
        <w:rPr>
          <w:rFonts w:hint="eastAsia" w:ascii="仿宋_GB2312" w:hAnsi="仿宋_GB2312" w:eastAsia="仿宋_GB2312" w:cs="仿宋_GB2312"/>
          <w:b w:val="0"/>
          <w:bCs/>
          <w:sz w:val="32"/>
          <w:szCs w:val="32"/>
          <w:lang w:val="en-US" w:eastAsia="zh-CN"/>
        </w:rPr>
        <w:t>南昌市文化广电新闻出版旅游局</w:t>
      </w:r>
    </w:p>
    <w:p>
      <w:pPr>
        <w:pStyle w:val="6"/>
        <w:ind w:firstLine="5760" w:firstLineChars="1800"/>
        <w:rPr>
          <w:rFonts w:hint="default"/>
          <w:lang w:val="en-US" w:eastAsia="zh-CN"/>
        </w:rPr>
      </w:pPr>
      <w:r>
        <w:rPr>
          <w:rFonts w:hint="eastAsia" w:ascii="仿宋_GB2312" w:hAnsi="仿宋_GB2312" w:eastAsia="仿宋_GB2312" w:cs="仿宋_GB2312"/>
          <w:b w:val="0"/>
          <w:bCs/>
          <w:sz w:val="32"/>
          <w:szCs w:val="32"/>
          <w:lang w:val="en-US" w:eastAsia="zh-CN"/>
        </w:rPr>
        <w:t>2021年5月18日</w:t>
      </w:r>
    </w:p>
    <w:p>
      <w:pPr>
        <w:autoSpaceDE w:val="0"/>
        <w:autoSpaceDN w:val="0"/>
        <w:adjustRightInd w:val="0"/>
        <w:spacing w:line="360" w:lineRule="auto"/>
        <w:ind w:firstLine="560"/>
        <w:rPr>
          <w:rFonts w:hint="default" w:ascii="宋体" w:hAnsi="宋体" w:eastAsia="宋体" w:cs="等线"/>
          <w:sz w:val="30"/>
          <w:szCs w:val="30"/>
          <w:lang w:val="en-US" w:eastAsia="zh-CN"/>
        </w:rPr>
      </w:pPr>
    </w:p>
    <w:p>
      <w:pPr>
        <w:rPr>
          <w:sz w:val="30"/>
          <w:szCs w:val="30"/>
        </w:rPr>
      </w:pPr>
    </w:p>
    <w:p>
      <w:pPr>
        <w:spacing w:line="600" w:lineRule="exact"/>
        <w:rPr>
          <w:rFonts w:hint="eastAsia" w:ascii="黑体" w:hAnsi="黑体" w:eastAsia="黑体"/>
          <w:color w:val="000000"/>
          <w:sz w:val="32"/>
          <w:szCs w:val="32"/>
        </w:rPr>
      </w:pPr>
    </w:p>
    <w:p>
      <w:pPr>
        <w:spacing w:line="576" w:lineRule="exact"/>
        <w:ind w:firstLine="720" w:firstLineChars="200"/>
        <w:rPr>
          <w:rFonts w:hint="eastAsia" w:ascii="黑体" w:hAnsi="黑体" w:eastAsia="黑体" w:cs="黑体"/>
          <w:color w:val="000000"/>
          <w:sz w:val="36"/>
          <w:szCs w:val="36"/>
        </w:rPr>
      </w:pPr>
    </w:p>
    <w:p>
      <w:bookmarkStart w:id="0" w:name="_GoBack"/>
      <w:bookmarkEnd w:id="0"/>
    </w:p>
    <w:sectPr>
      <w:headerReference r:id="rId3" w:type="default"/>
      <w:footerReference r:id="rId4" w:type="default"/>
      <w:footerReference r:id="rId5" w:type="even"/>
      <w:pgSz w:w="11906" w:h="16838"/>
      <w:pgMar w:top="1418" w:right="1418" w:bottom="1418"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- 8 -</w:t>
                          </w:r>
                          <w:r>
                            <w:rPr>
                              <w:rFonts w:hint="eastAsia" w:ascii="宋体" w:hAnsi="宋体" w:eastAsia="宋体" w:cs="宋体"/>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3"/>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- 8 -</w:t>
                    </w:r>
                    <w:r>
                      <w:rPr>
                        <w:rFonts w:hint="eastAsia" w:ascii="宋体" w:hAnsi="宋体" w:eastAsia="宋体" w:cs="宋体"/>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D537E5"/>
    <w:multiLevelType w:val="singleLevel"/>
    <w:tmpl w:val="8DD537E5"/>
    <w:lvl w:ilvl="0" w:tentative="0">
      <w:start w:val="1"/>
      <w:numFmt w:val="decimal"/>
      <w:suff w:val="nothing"/>
      <w:lvlText w:val="%1、"/>
      <w:lvlJc w:val="left"/>
    </w:lvl>
  </w:abstractNum>
  <w:abstractNum w:abstractNumId="1">
    <w:nsid w:val="8F4F91F2"/>
    <w:multiLevelType w:val="singleLevel"/>
    <w:tmpl w:val="8F4F91F2"/>
    <w:lvl w:ilvl="0" w:tentative="0">
      <w:start w:val="2"/>
      <w:numFmt w:val="decimal"/>
      <w:suff w:val="nothing"/>
      <w:lvlText w:val="%1、"/>
      <w:lvlJc w:val="left"/>
    </w:lvl>
  </w:abstractNum>
  <w:abstractNum w:abstractNumId="2">
    <w:nsid w:val="D0E1F6DA"/>
    <w:multiLevelType w:val="singleLevel"/>
    <w:tmpl w:val="D0E1F6DA"/>
    <w:lvl w:ilvl="0" w:tentative="0">
      <w:start w:val="3"/>
      <w:numFmt w:val="chineseCounting"/>
      <w:suff w:val="nothing"/>
      <w:lvlText w:val="（%1）"/>
      <w:lvlJc w:val="left"/>
      <w:rPr>
        <w:rFonts w:hint="eastAsia"/>
      </w:rPr>
    </w:lvl>
  </w:abstractNum>
  <w:abstractNum w:abstractNumId="3">
    <w:nsid w:val="D6F83AB4"/>
    <w:multiLevelType w:val="singleLevel"/>
    <w:tmpl w:val="D6F83AB4"/>
    <w:lvl w:ilvl="0" w:tentative="0">
      <w:start w:val="1"/>
      <w:numFmt w:val="decimal"/>
      <w:suff w:val="nothing"/>
      <w:lvlText w:val="%1、"/>
      <w:lvlJc w:val="left"/>
    </w:lvl>
  </w:abstractNum>
  <w:abstractNum w:abstractNumId="4">
    <w:nsid w:val="4074D098"/>
    <w:multiLevelType w:val="singleLevel"/>
    <w:tmpl w:val="4074D098"/>
    <w:lvl w:ilvl="0" w:tentative="0">
      <w:start w:val="3"/>
      <w:numFmt w:val="decimal"/>
      <w:suff w:val="nothing"/>
      <w:lvlText w:val="%1、"/>
      <w:lvlJc w:val="left"/>
    </w:lvl>
  </w:abstractNum>
  <w:abstractNum w:abstractNumId="5">
    <w:nsid w:val="5D3628B3"/>
    <w:multiLevelType w:val="singleLevel"/>
    <w:tmpl w:val="5D3628B3"/>
    <w:lvl w:ilvl="0" w:tentative="0">
      <w:start w:val="1"/>
      <w:numFmt w:val="chineseCounting"/>
      <w:suff w:val="nothing"/>
      <w:lvlText w:val="%1、"/>
      <w:lvlJc w:val="left"/>
      <w:rPr>
        <w:rFonts w:hint="eastAsia"/>
      </w:rPr>
    </w:lvl>
  </w:abstractNum>
  <w:abstractNum w:abstractNumId="6">
    <w:nsid w:val="5E4484FD"/>
    <w:multiLevelType w:val="singleLevel"/>
    <w:tmpl w:val="5E4484FD"/>
    <w:lvl w:ilvl="0" w:tentative="0">
      <w:start w:val="6"/>
      <w:numFmt w:val="chineseCounting"/>
      <w:suff w:val="nothing"/>
      <w:lvlText w:val="%1、"/>
      <w:lvlJc w:val="left"/>
      <w:rPr>
        <w:rFonts w:hint="eastAsia"/>
      </w:rPr>
    </w:lvl>
  </w:abstractNum>
  <w:abstractNum w:abstractNumId="7">
    <w:nsid w:val="676DEC9A"/>
    <w:multiLevelType w:val="singleLevel"/>
    <w:tmpl w:val="676DEC9A"/>
    <w:lvl w:ilvl="0" w:tentative="0">
      <w:start w:val="3"/>
      <w:numFmt w:val="chineseCounting"/>
      <w:suff w:val="nothing"/>
      <w:lvlText w:val="%1、"/>
      <w:lvlJc w:val="left"/>
      <w:rPr>
        <w:rFonts w:hint="eastAsia"/>
      </w:rPr>
    </w:lvl>
  </w:abstractNum>
  <w:num w:numId="1">
    <w:abstractNumId w:val="5"/>
  </w:num>
  <w:num w:numId="2">
    <w:abstractNumId w:val="4"/>
  </w:num>
  <w:num w:numId="3">
    <w:abstractNumId w:val="1"/>
  </w:num>
  <w:num w:numId="4">
    <w:abstractNumId w:val="2"/>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0E31BE"/>
    <w:rsid w:val="4D0E3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6">
    <w:name w:val="Body Text First Indent"/>
    <w:basedOn w:val="2"/>
    <w:qFormat/>
    <w:uiPriority w:val="99"/>
    <w:pPr>
      <w:ind w:firstLine="420" w:firstLineChars="1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2021-09-17T07:07:00Z</dcterms:created>
  <dc:creator>南昌市文化广电新闻出版局公文收发员</dc:creator>
  <cp:lastModifiedBy>南昌市文化广电新闻出版局公文收发员</cp:lastModifiedBy>
  <dcterms:modified xsi:type="dcterms:W3CDTF">2021-09-17T07:08:26Z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9B933E63964749859609978CA44DE0CE</vt:lpwstr>
  </property>
</Properties>
</file>